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0"/>
          <w:szCs w:val="30"/>
        </w:rPr>
      </w:pPr>
      <w:bookmarkStart w:id="0" w:name="_GoBack"/>
      <w:bookmarkEnd w:id="0"/>
      <w:r>
        <w:rPr>
          <w:rFonts w:hint="eastAsia"/>
          <w:b/>
          <w:sz w:val="30"/>
          <w:szCs w:val="30"/>
        </w:rPr>
        <w:t>2018-2019第一学期综合实践活动方案</w:t>
      </w:r>
    </w:p>
    <w:p>
      <w:pPr>
        <w:spacing w:line="360" w:lineRule="auto"/>
        <w:ind w:firstLine="600" w:firstLineChars="200"/>
        <w:jc w:val="center"/>
        <w:rPr>
          <w:sz w:val="30"/>
          <w:szCs w:val="30"/>
        </w:rPr>
      </w:pPr>
      <w:r>
        <w:rPr>
          <w:rFonts w:hint="eastAsia"/>
          <w:sz w:val="30"/>
          <w:szCs w:val="30"/>
        </w:rPr>
        <w:t>大长山小学  2018-9</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综合实践活动课程是义务教育阶段新课程计划规定的国家必修课程，它是一门基于学生的直接经验，密切联系学生自身生活和社会生活、体现对基础知识、基本技能综合运用的实践性课程。为了更好落实此项工作，我校依据《辽宁省全面审核义务教育课程改革的指导意见》和《辽宁省义务教育课程设置方案（修订）的通知》精神和长海县教师进修学校学校重点工作的要求，更好地培养学生的创新精神和实践能力，结合我校教师工作实际情况，特制定本方案如下。</w:t>
      </w:r>
      <w:r>
        <w:rPr>
          <w:rFonts w:hint="eastAsia" w:ascii="仿宋_GB2312" w:eastAsia="仿宋_GB2312"/>
          <w:sz w:val="28"/>
          <w:szCs w:val="28"/>
        </w:rPr>
        <w:br w:type="textWrapping"/>
      </w:r>
      <w:r>
        <w:rPr>
          <w:rFonts w:hint="eastAsia" w:eastAsia="仿宋_GB2312"/>
          <w:b/>
          <w:sz w:val="28"/>
          <w:szCs w:val="28"/>
        </w:rPr>
        <w:t>       </w:t>
      </w:r>
      <w:r>
        <w:rPr>
          <w:rFonts w:hint="eastAsia" w:ascii="仿宋_GB2312" w:eastAsia="仿宋_GB2312"/>
          <w:b/>
          <w:sz w:val="28"/>
          <w:szCs w:val="28"/>
        </w:rPr>
        <w:t>一、指导思想</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以提高国民素质为宗旨，以培养学生的创新精神和实践能力为重点，面向全体学生，引导学生自主探索、发现知识的形成过程和发展变化规律，全面、主动地发展。有目的、有计划、有组织地通过多种活动项目，丰富的活动内容，灵活多变的活动方式，使学生接触自然、社会，综合运用所学过的知识，开展以学生为主体，以实践性、自主性、创造性、趣味性以及非学科性为主要特征的多种活动。通过活动使学生拓宽视野，增长知识，培养能力，发展个性，生动、活泼、主动地得到全面和谐的发展。</w:t>
      </w:r>
      <w:r>
        <w:rPr>
          <w:rFonts w:hint="eastAsia" w:ascii="仿宋_GB2312" w:eastAsia="仿宋_GB2312"/>
          <w:sz w:val="28"/>
          <w:szCs w:val="28"/>
        </w:rPr>
        <w:br w:type="textWrapping"/>
      </w:r>
      <w:r>
        <w:rPr>
          <w:rFonts w:hint="eastAsia" w:eastAsia="仿宋_GB2312"/>
          <w:b/>
          <w:sz w:val="28"/>
          <w:szCs w:val="28"/>
        </w:rPr>
        <w:t xml:space="preserve">    </w:t>
      </w:r>
      <w:r>
        <w:rPr>
          <w:rFonts w:hint="eastAsia" w:ascii="仿宋_GB2312" w:eastAsia="仿宋_GB2312"/>
          <w:b/>
          <w:sz w:val="28"/>
          <w:szCs w:val="28"/>
        </w:rPr>
        <w:t>二、工作目标</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1、整合队伍素质、提高教研质量、出精品成果。</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2、让学生获得亲身参与实践的积极体验与丰富经验。</w:t>
      </w:r>
      <w:r>
        <w:rPr>
          <w:rFonts w:hint="eastAsia" w:ascii="仿宋_GB2312" w:eastAsia="仿宋_GB2312"/>
          <w:sz w:val="28"/>
          <w:szCs w:val="28"/>
        </w:rPr>
        <w:br w:type="textWrapping"/>
      </w:r>
      <w:r>
        <w:rPr>
          <w:rFonts w:hint="eastAsia" w:eastAsia="仿宋_GB2312"/>
          <w:sz w:val="28"/>
          <w:szCs w:val="28"/>
        </w:rPr>
        <w:t>      </w:t>
      </w:r>
      <w:r>
        <w:rPr>
          <w:rFonts w:hint="eastAsia" w:ascii="仿宋_GB2312" w:eastAsia="仿宋_GB2312"/>
          <w:sz w:val="28"/>
          <w:szCs w:val="28"/>
        </w:rPr>
        <w:t xml:space="preserve"> </w:t>
      </w:r>
      <w:r>
        <w:rPr>
          <w:rFonts w:hint="eastAsia" w:eastAsia="仿宋_GB2312"/>
          <w:sz w:val="28"/>
          <w:szCs w:val="28"/>
        </w:rPr>
        <w:t> </w:t>
      </w:r>
      <w:r>
        <w:rPr>
          <w:rFonts w:hint="eastAsia" w:ascii="仿宋_GB2312" w:eastAsia="仿宋_GB2312"/>
          <w:sz w:val="28"/>
          <w:szCs w:val="28"/>
        </w:rPr>
        <w:t>3、形成对自然、社会、文化 自我内在联系的整体认识，发展对自然的关爱和对社会对自身的责任。</w:t>
      </w:r>
      <w:r>
        <w:rPr>
          <w:rFonts w:hint="eastAsia" w:ascii="仿宋_GB2312" w:eastAsia="仿宋_GB2312"/>
          <w:sz w:val="28"/>
          <w:szCs w:val="28"/>
        </w:rPr>
        <w:br w:type="textWrapping"/>
      </w:r>
      <w:r>
        <w:rPr>
          <w:rFonts w:hint="eastAsia" w:ascii="仿宋_GB2312" w:eastAsia="仿宋_GB2312"/>
          <w:sz w:val="28"/>
          <w:szCs w:val="28"/>
        </w:rPr>
        <w:t xml:space="preserve">    4、形成从自己的周围生活中主动地发现问题并独立解决问题的态度和能力。</w:t>
      </w:r>
      <w:r>
        <w:rPr>
          <w:rFonts w:hint="eastAsia" w:ascii="仿宋_GB2312" w:eastAsia="仿宋_GB2312"/>
          <w:sz w:val="28"/>
          <w:szCs w:val="28"/>
        </w:rPr>
        <w:br w:type="textWrapping"/>
      </w:r>
      <w:r>
        <w:rPr>
          <w:rFonts w:hint="eastAsia" w:ascii="仿宋_GB2312" w:eastAsia="仿宋_GB2312"/>
          <w:sz w:val="28"/>
          <w:szCs w:val="28"/>
        </w:rPr>
        <w:t xml:space="preserve">     5、发展实践能力，发展对知识的综合运用和创新能力。</w:t>
      </w:r>
      <w:r>
        <w:rPr>
          <w:rFonts w:hint="eastAsia" w:ascii="仿宋_GB2312" w:eastAsia="仿宋_GB2312"/>
          <w:sz w:val="28"/>
          <w:szCs w:val="28"/>
        </w:rPr>
        <w:br w:type="textWrapping"/>
      </w:r>
      <w:r>
        <w:rPr>
          <w:rFonts w:hint="eastAsia" w:ascii="仿宋_GB2312" w:eastAsia="仿宋_GB2312"/>
          <w:sz w:val="28"/>
          <w:szCs w:val="28"/>
        </w:rPr>
        <w:t xml:space="preserve">     6、养成合作、分享、积极进取等良好的个性品质。</w:t>
      </w:r>
    </w:p>
    <w:p>
      <w:pPr>
        <w:spacing w:line="360" w:lineRule="auto"/>
        <w:ind w:left="561" w:leftChars="267"/>
        <w:rPr>
          <w:rFonts w:ascii="仿宋_GB2312" w:eastAsia="仿宋_GB2312"/>
          <w:sz w:val="28"/>
          <w:szCs w:val="28"/>
        </w:rPr>
      </w:pPr>
      <w:r>
        <w:rPr>
          <w:rFonts w:hint="eastAsia" w:ascii="仿宋_GB2312" w:eastAsia="仿宋_GB2312"/>
          <w:b/>
          <w:sz w:val="28"/>
          <w:szCs w:val="28"/>
        </w:rPr>
        <w:t>三、具体措施及工作要求</w:t>
      </w:r>
      <w:r>
        <w:rPr>
          <w:rFonts w:hint="eastAsia" w:ascii="仿宋_GB2312" w:eastAsia="仿宋_GB2312"/>
          <w:sz w:val="28"/>
          <w:szCs w:val="28"/>
        </w:rPr>
        <w:br w:type="textWrapping"/>
      </w:r>
      <w:r>
        <w:rPr>
          <w:rFonts w:hint="eastAsia" w:ascii="仿宋_GB2312" w:eastAsia="仿宋_GB2312"/>
          <w:sz w:val="28"/>
          <w:szCs w:val="28"/>
        </w:rPr>
        <w:t>1、组建综合实践领导小组。</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组长：曲敏</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 xml:space="preserve">副组长：周德昌 </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成员：赵礼刚  教导处成员及任课教师</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2、课程设置</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本学期，我校根据《辽宁省义务教育课程设置方案（修订）的通知》，3—6年级每周安排3节课：1节信息技术、1节劳动与技术教育、1节研究性学习、社区服务及社会实践等相关要求。为了更好落实此项工作，将1节信息技术课直接纳入学校课程管理之中，由专职教师担任，其余2节课程学校采取整合和融合的方式来完成教学任务。</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我校课程设置融合为学科整合和“快乐的我”两大模块为主要课程，以各教研组设为综合实践活动小组为主体，以各教研组长为负责人，召集本教研组制定具体实施详案，指导各小组的活动，指导师生收集资料，落实做课时间、人员和要求。</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①第一大模块是学科整合。参加范围是3-6年级学生，依据国家课程设置的《综合实践活动》读本教学内容安排，把学校《基础学科课程》、《体艺课程》、《地方课程》、《校本课程》、《道法》、《品社》、《科学》等学科课程进行整合，来完成《综合实践活动》教材任务。详见课程整合明细表。</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②第二大模块是“快乐成长”课程体验。参加范围是1-6年级学生，以 “快乐成长”为主题分为自然、社会、文化、自我四大部分。围绕主题，结合四大部分，逐步分层实施。</w:t>
      </w:r>
    </w:p>
    <w:p>
      <w:pPr>
        <w:pStyle w:val="9"/>
        <w:numPr>
          <w:ilvl w:val="0"/>
          <w:numId w:val="1"/>
        </w:numPr>
        <w:spacing w:line="360" w:lineRule="auto"/>
        <w:ind w:firstLineChars="0"/>
        <w:rPr>
          <w:rFonts w:ascii="仿宋_GB2312" w:eastAsia="仿宋_GB2312"/>
          <w:sz w:val="28"/>
          <w:szCs w:val="28"/>
        </w:rPr>
      </w:pPr>
      <w:r>
        <w:rPr>
          <w:rFonts w:hint="eastAsia" w:ascii="仿宋_GB2312" w:eastAsia="仿宋_GB2312"/>
          <w:sz w:val="28"/>
          <w:szCs w:val="28"/>
        </w:rPr>
        <w:t>自然（含陆地、海洋、美丽的春天、生物【动植物】、天文地理等）。</w:t>
      </w:r>
    </w:p>
    <w:p>
      <w:pPr>
        <w:pStyle w:val="9"/>
        <w:numPr>
          <w:ilvl w:val="0"/>
          <w:numId w:val="1"/>
        </w:numPr>
        <w:spacing w:line="360" w:lineRule="auto"/>
        <w:ind w:firstLineChars="0"/>
        <w:rPr>
          <w:rFonts w:ascii="仿宋_GB2312" w:eastAsia="仿宋_GB2312"/>
          <w:sz w:val="28"/>
          <w:szCs w:val="28"/>
        </w:rPr>
      </w:pPr>
      <w:r>
        <w:rPr>
          <w:rFonts w:hint="eastAsia" w:ascii="仿宋_GB2312" w:eastAsia="仿宋_GB2312"/>
          <w:sz w:val="28"/>
          <w:szCs w:val="28"/>
        </w:rPr>
        <w:t>社会（含社区【社区文化实践活动】、劳动【值日生、校内外劳动、基地等】、安全【安全资料 逃生演练等】、环保【垃圾分类 爱护环境等】、德育系列【少先队 社团活动 传统活动 】、技术【科技小制作 动画制作、素质教育实践基地等】）。</w:t>
      </w:r>
    </w:p>
    <w:p>
      <w:pPr>
        <w:pStyle w:val="9"/>
        <w:numPr>
          <w:ilvl w:val="0"/>
          <w:numId w:val="1"/>
        </w:numPr>
        <w:spacing w:line="360" w:lineRule="auto"/>
        <w:ind w:firstLineChars="0"/>
        <w:rPr>
          <w:rFonts w:ascii="仿宋_GB2312" w:eastAsia="仿宋_GB2312"/>
          <w:sz w:val="28"/>
          <w:szCs w:val="28"/>
        </w:rPr>
      </w:pPr>
      <w:r>
        <w:rPr>
          <w:rFonts w:hint="eastAsia" w:ascii="仿宋_GB2312" w:eastAsia="仿宋_GB2312"/>
          <w:sz w:val="28"/>
          <w:szCs w:val="28"/>
        </w:rPr>
        <w:t>文化（节日、家乡【长海风情  风景  文化】、旅游、饮食等）。</w:t>
      </w:r>
    </w:p>
    <w:p>
      <w:pPr>
        <w:pStyle w:val="9"/>
        <w:numPr>
          <w:ilvl w:val="0"/>
          <w:numId w:val="1"/>
        </w:numPr>
        <w:spacing w:line="360" w:lineRule="auto"/>
        <w:ind w:firstLineChars="0"/>
        <w:rPr>
          <w:rFonts w:ascii="仿宋_GB2312" w:eastAsia="仿宋_GB2312"/>
          <w:sz w:val="28"/>
          <w:szCs w:val="28"/>
        </w:rPr>
      </w:pPr>
      <w:r>
        <w:rPr>
          <w:rFonts w:hint="eastAsia" w:ascii="仿宋_GB2312" w:eastAsia="仿宋_GB2312"/>
          <w:sz w:val="28"/>
          <w:szCs w:val="28"/>
        </w:rPr>
        <w:t>自我（健康【体育 个人卫生】、小组合作、个人体艺等）。</w:t>
      </w:r>
    </w:p>
    <w:p>
      <w:pPr>
        <w:spacing w:line="360" w:lineRule="auto"/>
        <w:ind w:left="560"/>
        <w:rPr>
          <w:rFonts w:ascii="仿宋_GB2312" w:eastAsia="仿宋_GB2312"/>
          <w:sz w:val="28"/>
          <w:szCs w:val="28"/>
        </w:rPr>
      </w:pPr>
      <w:r>
        <w:rPr>
          <w:rFonts w:hint="eastAsia" w:ascii="仿宋_GB2312" w:eastAsia="仿宋_GB2312"/>
          <w:sz w:val="28"/>
          <w:szCs w:val="28"/>
        </w:rPr>
        <w:t>以上四大部分，就是把学校开展的活动进行归类管理，详见图解。</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 xml:space="preserve"> 3、积极行动，努力探索、使综合实践活动多样化。</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在新课改的教育平台上，它有着更大的创新空间。全体教师要树立教育创新的观念，可根据学校实际情况，结合学校的教学工作计划设计方案，科学有效地开展综合实践活动。以融合的方式设计与实施综合实践活动，实现研究性学习、社区服务与社会实践、劳动与技术教育、信息技术教育等领域的整合。本学期重点是劳动技术教育和研究性学习。</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4、注重几个结合：</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①即与学校的传统德育活动相结合、与班队主题活动相结合。融合到自然、社会、文化、自我中。如本学期，开学典礼、学雷锋活动、三八节感恩母亲活动、清明节、端午节等重要节日。</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②与学生的生活实际相结合。以研究某种自己感兴趣的事物、关注自然、研究自然相结合。融合到社会、自我部分，让学生体验生活，感到生活的快乐。</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③按照课程整合计划表与学科教学相结合。如校本课、地方课等融合。</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④与校级兴趣活动相结合。融合到学校开展的校本课程中的体育-科技-艺术-美术等兴趣小组中。</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⑤与自然、社会相融合。如学校开展的垃圾分类、某项劳动、基地活动、海洋性知识等活动。</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⑥以及学生假期小制作和日常小制作、素质教育实践等作品相结合。</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要注意资料积累整理。任课教师要建立电子文件夹，以文档或照片形式存放。如以责任者XX建立综合实践活动总文件夹</w:t>
      </w:r>
      <w:r>
        <w:rPr>
          <w:rFonts w:ascii="仿宋_GB2312" w:eastAsia="仿宋_GB2312"/>
          <w:sz w:val="28"/>
          <w:szCs w:val="28"/>
        </w:rPr>
        <w:t>—</w:t>
      </w:r>
      <w:r>
        <w:rPr>
          <w:rFonts w:hint="eastAsia" w:ascii="仿宋_GB2312" w:eastAsia="仿宋_GB2312"/>
          <w:sz w:val="28"/>
          <w:szCs w:val="28"/>
        </w:rPr>
        <w:t>含自然、社会、文化、自我等形式呈现出来，期末压缩成文件包上交，上交程序是责任者-教研组长-学科主任</w:t>
      </w:r>
      <w:r>
        <w:rPr>
          <w:rFonts w:ascii="仿宋_GB2312" w:eastAsia="仿宋_GB2312"/>
          <w:sz w:val="28"/>
          <w:szCs w:val="28"/>
        </w:rPr>
        <w:t>—</w:t>
      </w:r>
      <w:r>
        <w:rPr>
          <w:rFonts w:hint="eastAsia" w:ascii="仿宋_GB2312" w:eastAsia="仿宋_GB2312"/>
          <w:sz w:val="28"/>
          <w:szCs w:val="28"/>
        </w:rPr>
        <w:t>学校，考核评比。充分利用学校的已有设备，并与当地实践基地、学校劳动基地等活动场所，建立长期联系，开辟校外活动基地，发挥社区教育优势，加强学校、家庭与社区三者之间的联系。如参与社区服务和社会实践，拓宽综合实践活动的渠道。</w:t>
      </w:r>
      <w:r>
        <w:rPr>
          <w:rFonts w:hint="eastAsia" w:ascii="仿宋_GB2312" w:eastAsia="仿宋_GB2312"/>
          <w:sz w:val="28"/>
          <w:szCs w:val="28"/>
        </w:rPr>
        <w:br w:type="textWrapping"/>
      </w:r>
      <w:r>
        <w:rPr>
          <w:rFonts w:hint="eastAsia" w:ascii="仿宋_GB2312" w:eastAsia="仿宋_GB2312"/>
          <w:sz w:val="28"/>
          <w:szCs w:val="28"/>
        </w:rPr>
        <w:t xml:space="preserve">    5、注重过程管理。</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①制定计划。学期初，学校综合实践活动小组制定方案，落实年级组长（学科组长）及任课教师名单，组织教师研讨，相互了解情况、分析情况、互相学习交流经验，任课教师制定好教学计划。</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②学期初，指导教师通览教材，做好综合实践活动教师用书使用培训工作，依据教师用书（参考书）进一步规范教师备课、上课的模式。改变教师过往无教参的随意性。认真落实综合实践的活动上课类型、目标设计的侧重点及活动内容等。要选好主题，精心设计每个阶段活动形式，要合理分配时间，并注明每个阶段活动时间。</w:t>
      </w:r>
    </w:p>
    <w:p>
      <w:pPr>
        <w:spacing w:line="360" w:lineRule="auto"/>
        <w:ind w:firstLine="560" w:firstLineChars="200"/>
        <w:rPr>
          <w:rFonts w:ascii="仿宋_GB2312" w:eastAsia="仿宋_GB2312"/>
          <w:sz w:val="28"/>
          <w:szCs w:val="28"/>
        </w:rPr>
      </w:pPr>
      <w:r>
        <w:rPr>
          <w:rFonts w:hint="eastAsia" w:eastAsia="仿宋_GB2312"/>
          <w:sz w:val="28"/>
          <w:szCs w:val="28"/>
        </w:rPr>
        <w:t> </w:t>
      </w:r>
      <w:r>
        <w:rPr>
          <w:rFonts w:hint="eastAsia" w:ascii="仿宋_GB2312" w:eastAsia="仿宋_GB2312"/>
          <w:sz w:val="28"/>
          <w:szCs w:val="28"/>
        </w:rPr>
        <w:t>③</w:t>
      </w:r>
      <w:r>
        <w:rPr>
          <w:rFonts w:hint="eastAsia" w:eastAsia="仿宋_GB2312"/>
          <w:sz w:val="28"/>
          <w:szCs w:val="28"/>
        </w:rPr>
        <w:t> </w:t>
      </w:r>
      <w:r>
        <w:rPr>
          <w:rFonts w:hint="eastAsia" w:ascii="仿宋_GB2312" w:eastAsia="仿宋_GB2312"/>
          <w:sz w:val="28"/>
          <w:szCs w:val="28"/>
        </w:rPr>
        <w:t>综合实践活动的形式。</w:t>
      </w:r>
      <w:r>
        <w:rPr>
          <w:rFonts w:hint="eastAsia" w:eastAsia="仿宋_GB2312"/>
          <w:sz w:val="28"/>
          <w:szCs w:val="28"/>
        </w:rPr>
        <w:t> </w:t>
      </w:r>
      <w:r>
        <w:rPr>
          <w:rFonts w:hint="eastAsia" w:ascii="仿宋_GB2312" w:eastAsia="仿宋_GB2312"/>
          <w:sz w:val="28"/>
          <w:szCs w:val="28"/>
        </w:rPr>
        <w:t>《综合实践活动指导纲要》明确规定的四大领域，即研究性学习、社区服务与社会实践、劳动技术教育、信息技术教育。本学期，我校一是注重几个结合；二是根据综合实践教师用书，结合教材。采取的形式主要是研究性学习活动、项目设计性学习活动和实践参与体验性学习活动分阶段逐步实施活动，三是还可以结合学校其它活动完成综合实践教学任务</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④做好电子档案建设和教师备课管理（8个主题和1个期末大盘点），特别是八大主题的成果整理、搜集、上报工作。</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5、教学评价</w:t>
      </w:r>
      <w:r>
        <w:rPr>
          <w:rFonts w:hint="eastAsia" w:ascii="仿宋_GB2312" w:eastAsia="仿宋_GB2312"/>
          <w:sz w:val="28"/>
          <w:szCs w:val="28"/>
        </w:rPr>
        <w:br w:type="textWrapping"/>
      </w:r>
      <w:r>
        <w:rPr>
          <w:rFonts w:hint="eastAsia" w:ascii="仿宋_GB2312" w:eastAsia="仿宋_GB2312"/>
          <w:sz w:val="28"/>
          <w:szCs w:val="28"/>
        </w:rPr>
        <w:t xml:space="preserve">   本课程坚持以“活动促发展”为指导思想，要求其教学评价也要以促进学生发展为目标，采取多样化的评价方法。如汇报、成果或作品展示、研究报告答辩、演示、表演、竞赛、评比等。要注重评价信息的丰富性、注重评价方法的多样性相结合的原则。采用自评、同伴评、家长评、教师评等方式多向评价。通过前后评价结果的比较反映学生和教师的进步情况。在期末做好学生综合测评手册管理</w:t>
      </w:r>
      <w:r>
        <w:rPr>
          <w:rFonts w:hint="eastAsia" w:ascii="仿宋_GB2312" w:eastAsia="仿宋_GB2312"/>
          <w:sz w:val="28"/>
          <w:szCs w:val="28"/>
        </w:rPr>
        <w:br w:type="textWrapping"/>
      </w:r>
      <w:r>
        <w:rPr>
          <w:rFonts w:hint="eastAsia" w:eastAsia="仿宋_GB2312"/>
          <w:sz w:val="28"/>
          <w:szCs w:val="28"/>
        </w:rPr>
        <w:t> </w:t>
      </w:r>
      <w:r>
        <w:rPr>
          <w:rFonts w:hint="eastAsia" w:ascii="仿宋_GB2312" w:eastAsia="仿宋_GB2312"/>
          <w:sz w:val="28"/>
          <w:szCs w:val="28"/>
        </w:rPr>
        <w:t xml:space="preserve">    6、做好期末成果搜集和整理工作。</w:t>
      </w:r>
    </w:p>
    <w:p>
      <w:pPr>
        <w:spacing w:line="360" w:lineRule="auto"/>
        <w:ind w:firstLine="560" w:firstLineChars="200"/>
        <w:rPr>
          <w:rFonts w:ascii="仿宋_GB2312" w:eastAsia="仿宋_GB2312"/>
          <w:sz w:val="24"/>
          <w:szCs w:val="24"/>
        </w:rPr>
      </w:pPr>
      <w:r>
        <w:rPr>
          <w:rFonts w:hint="eastAsia" w:ascii="仿宋_GB2312" w:eastAsia="仿宋_GB2312"/>
          <w:sz w:val="28"/>
          <w:szCs w:val="28"/>
        </w:rPr>
        <w:t>7、除了各学科保证不少于10%的课时用于开展学科实践活动及信息技术外，社区服务与社会实践、劳动技术教育我校采取分散和集中</w:t>
      </w:r>
      <w:r>
        <w:rPr>
          <w:rFonts w:hint="eastAsia" w:ascii="仿宋_GB2312" w:eastAsia="仿宋_GB2312"/>
          <w:sz w:val="24"/>
          <w:szCs w:val="24"/>
        </w:rPr>
        <w:t>使用（详见附件1-附件2）</w:t>
      </w:r>
    </w:p>
    <w:p>
      <w:pPr>
        <w:spacing w:line="360" w:lineRule="auto"/>
        <w:ind w:firstLine="480" w:firstLineChars="200"/>
        <w:rPr>
          <w:rFonts w:ascii="仿宋_GB2312" w:eastAsia="仿宋_GB2312"/>
          <w:sz w:val="24"/>
          <w:szCs w:val="24"/>
        </w:rPr>
      </w:pPr>
    </w:p>
    <w:p>
      <w:pPr>
        <w:spacing w:line="360" w:lineRule="auto"/>
        <w:ind w:firstLine="480" w:firstLineChars="200"/>
        <w:rPr>
          <w:rFonts w:ascii="仿宋_GB2312" w:eastAsia="仿宋_GB2312"/>
          <w:sz w:val="24"/>
          <w:szCs w:val="24"/>
        </w:rPr>
      </w:pPr>
    </w:p>
    <w:p>
      <w:pPr>
        <w:spacing w:line="360" w:lineRule="auto"/>
        <w:ind w:firstLine="480" w:firstLineChars="200"/>
        <w:rPr>
          <w:rFonts w:ascii="仿宋_GB2312" w:eastAsia="仿宋_GB2312"/>
          <w:sz w:val="24"/>
          <w:szCs w:val="24"/>
        </w:rPr>
      </w:pPr>
    </w:p>
    <w:p>
      <w:pPr>
        <w:spacing w:line="360" w:lineRule="auto"/>
        <w:ind w:firstLine="480" w:firstLineChars="200"/>
        <w:rPr>
          <w:rFonts w:ascii="仿宋_GB2312" w:eastAsia="仿宋_GB2312"/>
          <w:sz w:val="24"/>
          <w:szCs w:val="24"/>
        </w:rPr>
      </w:pPr>
    </w:p>
    <w:p>
      <w:pPr>
        <w:spacing w:line="360" w:lineRule="auto"/>
        <w:ind w:firstLine="480" w:firstLineChars="200"/>
        <w:rPr>
          <w:rFonts w:ascii="仿宋_GB2312" w:eastAsia="仿宋_GB2312"/>
          <w:sz w:val="24"/>
          <w:szCs w:val="24"/>
        </w:rPr>
      </w:pPr>
    </w:p>
    <w:p>
      <w:pPr>
        <w:spacing w:line="360" w:lineRule="auto"/>
        <w:ind w:firstLine="480" w:firstLineChars="200"/>
        <w:rPr>
          <w:rFonts w:ascii="仿宋_GB2312" w:eastAsia="仿宋_GB2312"/>
          <w:sz w:val="24"/>
          <w:szCs w:val="24"/>
        </w:rPr>
      </w:pPr>
    </w:p>
    <w:p>
      <w:pPr>
        <w:spacing w:line="360" w:lineRule="auto"/>
        <w:ind w:firstLine="480" w:firstLineChars="200"/>
        <w:rPr>
          <w:rFonts w:ascii="仿宋_GB2312" w:eastAsia="仿宋_GB2312"/>
          <w:sz w:val="24"/>
          <w:szCs w:val="24"/>
        </w:rPr>
      </w:pPr>
    </w:p>
    <w:p>
      <w:pPr>
        <w:spacing w:line="360" w:lineRule="auto"/>
        <w:ind w:firstLine="480" w:firstLineChars="200"/>
        <w:rPr>
          <w:rFonts w:ascii="仿宋_GB2312" w:eastAsia="仿宋_GB2312"/>
          <w:sz w:val="24"/>
          <w:szCs w:val="24"/>
        </w:rPr>
      </w:pPr>
    </w:p>
    <w:p>
      <w:pPr>
        <w:spacing w:line="360" w:lineRule="auto"/>
        <w:ind w:firstLine="480" w:firstLineChars="200"/>
        <w:rPr>
          <w:rFonts w:ascii="仿宋_GB2312" w:eastAsia="仿宋_GB2312"/>
          <w:sz w:val="24"/>
          <w:szCs w:val="24"/>
        </w:rPr>
      </w:pPr>
    </w:p>
    <w:p>
      <w:pPr>
        <w:spacing w:line="360" w:lineRule="auto"/>
        <w:ind w:firstLine="480" w:firstLineChars="200"/>
        <w:rPr>
          <w:rFonts w:ascii="仿宋_GB2312" w:eastAsia="仿宋_GB2312"/>
          <w:sz w:val="24"/>
          <w:szCs w:val="24"/>
        </w:rPr>
      </w:pPr>
    </w:p>
    <w:p>
      <w:pPr>
        <w:spacing w:line="360" w:lineRule="auto"/>
        <w:ind w:firstLine="480" w:firstLineChars="200"/>
        <w:rPr>
          <w:rFonts w:ascii="仿宋_GB2312" w:eastAsia="仿宋_GB2312"/>
          <w:sz w:val="24"/>
          <w:szCs w:val="24"/>
        </w:rPr>
      </w:pPr>
    </w:p>
    <w:p>
      <w:pPr>
        <w:spacing w:line="360" w:lineRule="auto"/>
        <w:ind w:firstLine="480" w:firstLineChars="200"/>
        <w:rPr>
          <w:rFonts w:ascii="仿宋_GB2312" w:eastAsia="仿宋_GB2312"/>
          <w:sz w:val="24"/>
          <w:szCs w:val="24"/>
        </w:rPr>
      </w:pPr>
    </w:p>
    <w:p>
      <w:pPr>
        <w:spacing w:line="360" w:lineRule="auto"/>
        <w:ind w:firstLine="480" w:firstLineChars="200"/>
        <w:rPr>
          <w:rFonts w:ascii="仿宋_GB2312" w:eastAsia="仿宋_GB2312"/>
          <w:sz w:val="24"/>
          <w:szCs w:val="24"/>
        </w:rPr>
      </w:pPr>
    </w:p>
    <w:p>
      <w:pPr>
        <w:spacing w:line="360" w:lineRule="auto"/>
        <w:ind w:firstLine="480" w:firstLineChars="200"/>
        <w:rPr>
          <w:rFonts w:ascii="仿宋_GB2312" w:eastAsia="仿宋_GB2312"/>
          <w:sz w:val="24"/>
          <w:szCs w:val="24"/>
        </w:rPr>
      </w:pPr>
    </w:p>
    <w:p>
      <w:pPr>
        <w:spacing w:line="360" w:lineRule="auto"/>
        <w:ind w:firstLine="480" w:firstLineChars="200"/>
        <w:rPr>
          <w:rFonts w:ascii="仿宋_GB2312" w:eastAsia="仿宋_GB2312"/>
          <w:sz w:val="24"/>
          <w:szCs w:val="24"/>
        </w:rPr>
      </w:pPr>
    </w:p>
    <w:p>
      <w:pPr>
        <w:spacing w:line="360" w:lineRule="auto"/>
        <w:ind w:firstLine="480" w:firstLineChars="200"/>
        <w:rPr>
          <w:rFonts w:ascii="仿宋_GB2312" w:eastAsia="仿宋_GB2312"/>
          <w:sz w:val="24"/>
          <w:szCs w:val="24"/>
        </w:rPr>
      </w:pPr>
    </w:p>
    <w:p>
      <w:pPr>
        <w:spacing w:line="360" w:lineRule="auto"/>
        <w:ind w:firstLine="480" w:firstLineChars="200"/>
        <w:rPr>
          <w:rFonts w:ascii="仿宋_GB2312" w:eastAsia="仿宋_GB2312"/>
          <w:sz w:val="24"/>
          <w:szCs w:val="24"/>
        </w:rPr>
      </w:pPr>
    </w:p>
    <w:p>
      <w:pPr>
        <w:spacing w:line="360" w:lineRule="auto"/>
        <w:ind w:firstLine="480" w:firstLineChars="200"/>
        <w:rPr>
          <w:rFonts w:ascii="仿宋_GB2312" w:eastAsia="仿宋_GB2312"/>
          <w:sz w:val="24"/>
          <w:szCs w:val="24"/>
        </w:rPr>
      </w:pPr>
    </w:p>
    <w:p>
      <w:pPr>
        <w:spacing w:line="360" w:lineRule="auto"/>
        <w:ind w:firstLine="480" w:firstLineChars="200"/>
        <w:rPr>
          <w:rFonts w:ascii="仿宋_GB2312" w:eastAsia="仿宋_GB2312"/>
          <w:sz w:val="24"/>
          <w:szCs w:val="24"/>
        </w:rPr>
      </w:pPr>
    </w:p>
    <w:p>
      <w:pPr>
        <w:spacing w:line="360" w:lineRule="auto"/>
        <w:ind w:firstLine="480" w:firstLineChars="200"/>
        <w:rPr>
          <w:rFonts w:ascii="仿宋_GB2312" w:eastAsia="仿宋_GB2312"/>
          <w:sz w:val="24"/>
          <w:szCs w:val="24"/>
        </w:rPr>
      </w:pPr>
    </w:p>
    <w:p>
      <w:pPr>
        <w:spacing w:line="360" w:lineRule="auto"/>
        <w:rPr>
          <w:rFonts w:ascii="仿宋_GB2312" w:eastAsia="仿宋_GB2312"/>
          <w:sz w:val="24"/>
          <w:szCs w:val="24"/>
        </w:rPr>
      </w:pPr>
    </w:p>
    <w:tbl>
      <w:tblPr>
        <w:tblStyle w:val="6"/>
        <w:tblW w:w="8907" w:type="dxa"/>
        <w:tblInd w:w="90" w:type="dxa"/>
        <w:tblLayout w:type="fixed"/>
        <w:tblCellMar>
          <w:top w:w="0" w:type="dxa"/>
          <w:left w:w="108" w:type="dxa"/>
          <w:bottom w:w="0" w:type="dxa"/>
          <w:right w:w="108" w:type="dxa"/>
        </w:tblCellMar>
      </w:tblPr>
      <w:tblGrid>
        <w:gridCol w:w="437"/>
        <w:gridCol w:w="3280"/>
        <w:gridCol w:w="2416"/>
        <w:gridCol w:w="2774"/>
      </w:tblGrid>
      <w:tr>
        <w:tblPrEx>
          <w:tblLayout w:type="fixed"/>
          <w:tblCellMar>
            <w:top w:w="0" w:type="dxa"/>
            <w:left w:w="108" w:type="dxa"/>
            <w:bottom w:w="0" w:type="dxa"/>
            <w:right w:w="108" w:type="dxa"/>
          </w:tblCellMar>
        </w:tblPrEx>
        <w:trPr>
          <w:trHeight w:val="285" w:hRule="atLeast"/>
        </w:trPr>
        <w:tc>
          <w:tcPr>
            <w:tcW w:w="8907" w:type="dxa"/>
            <w:gridSpan w:val="4"/>
            <w:tcBorders>
              <w:top w:val="nil"/>
              <w:left w:val="nil"/>
              <w:bottom w:val="nil"/>
              <w:right w:val="nil"/>
            </w:tcBorders>
            <w:shd w:val="clear" w:color="auto" w:fill="auto"/>
            <w:vAlign w:val="center"/>
          </w:tcPr>
          <w:p>
            <w:pPr>
              <w:widowControl/>
              <w:jc w:val="left"/>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［附件1］大长山小学综合实践活动国家课程主题汇总（分散和集中使用）</w:t>
            </w:r>
          </w:p>
        </w:tc>
      </w:tr>
      <w:tr>
        <w:tblPrEx>
          <w:tblLayout w:type="fixed"/>
          <w:tblCellMar>
            <w:top w:w="0" w:type="dxa"/>
            <w:left w:w="108" w:type="dxa"/>
            <w:bottom w:w="0" w:type="dxa"/>
            <w:right w:w="108" w:type="dxa"/>
          </w:tblCellMar>
        </w:tblPrEx>
        <w:trPr>
          <w:trHeight w:val="600" w:hRule="atLeast"/>
        </w:trPr>
        <w:tc>
          <w:tcPr>
            <w:tcW w:w="437"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活</w:t>
            </w:r>
            <w:r>
              <w:rPr>
                <w:rFonts w:hint="eastAsia" w:ascii="宋体" w:hAnsi="宋体" w:cs="宋体"/>
                <w:b/>
                <w:bCs/>
                <w:color w:val="000000"/>
                <w:kern w:val="0"/>
                <w:sz w:val="22"/>
                <w:szCs w:val="22"/>
              </w:rPr>
              <w:br w:type="textWrapping"/>
            </w:r>
            <w:r>
              <w:rPr>
                <w:rFonts w:hint="eastAsia" w:ascii="宋体" w:hAnsi="宋体" w:cs="宋体"/>
                <w:b/>
                <w:bCs/>
                <w:color w:val="000000"/>
                <w:kern w:val="0"/>
                <w:sz w:val="22"/>
                <w:szCs w:val="22"/>
              </w:rPr>
              <w:t>动</w:t>
            </w:r>
            <w:r>
              <w:rPr>
                <w:rFonts w:hint="eastAsia" w:ascii="宋体" w:hAnsi="宋体" w:cs="宋体"/>
                <w:b/>
                <w:bCs/>
                <w:color w:val="000000"/>
                <w:kern w:val="0"/>
                <w:sz w:val="22"/>
                <w:szCs w:val="22"/>
              </w:rPr>
              <w:br w:type="textWrapping"/>
            </w:r>
            <w:r>
              <w:rPr>
                <w:rFonts w:hint="eastAsia" w:ascii="宋体" w:hAnsi="宋体" w:cs="宋体"/>
                <w:b/>
                <w:bCs/>
                <w:color w:val="000000"/>
                <w:kern w:val="0"/>
                <w:sz w:val="22"/>
                <w:szCs w:val="22"/>
              </w:rPr>
              <w:t>形</w:t>
            </w:r>
            <w:r>
              <w:rPr>
                <w:rFonts w:hint="eastAsia" w:ascii="宋体" w:hAnsi="宋体" w:cs="宋体"/>
                <w:b/>
                <w:bCs/>
                <w:color w:val="000000"/>
                <w:kern w:val="0"/>
                <w:sz w:val="22"/>
                <w:szCs w:val="22"/>
              </w:rPr>
              <w:br w:type="textWrapping"/>
            </w:r>
            <w:r>
              <w:rPr>
                <w:rFonts w:hint="eastAsia" w:ascii="宋体" w:hAnsi="宋体" w:cs="宋体"/>
                <w:b/>
                <w:bCs/>
                <w:color w:val="000000"/>
                <w:kern w:val="0"/>
                <w:sz w:val="22"/>
                <w:szCs w:val="22"/>
              </w:rPr>
              <w:t>式</w:t>
            </w:r>
          </w:p>
        </w:tc>
        <w:tc>
          <w:tcPr>
            <w:tcW w:w="32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研究性学习活动</w:t>
            </w:r>
          </w:p>
        </w:tc>
        <w:tc>
          <w:tcPr>
            <w:tcW w:w="2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项目设计性学习活动</w:t>
            </w:r>
          </w:p>
        </w:tc>
        <w:tc>
          <w:tcPr>
            <w:tcW w:w="277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实践参与体验性</w:t>
            </w:r>
            <w:r>
              <w:rPr>
                <w:rFonts w:hint="eastAsia" w:ascii="宋体" w:hAnsi="宋体" w:cs="宋体"/>
                <w:b/>
                <w:bCs/>
                <w:color w:val="000000"/>
                <w:kern w:val="0"/>
                <w:sz w:val="20"/>
                <w:szCs w:val="20"/>
              </w:rPr>
              <w:br w:type="textWrapping"/>
            </w:r>
            <w:r>
              <w:rPr>
                <w:rFonts w:hint="eastAsia" w:ascii="宋体" w:hAnsi="宋体" w:cs="宋体"/>
                <w:b/>
                <w:bCs/>
                <w:color w:val="000000"/>
                <w:kern w:val="0"/>
                <w:sz w:val="20"/>
                <w:szCs w:val="20"/>
              </w:rPr>
              <w:t>学习活动项目</w:t>
            </w:r>
          </w:p>
        </w:tc>
      </w:tr>
      <w:tr>
        <w:tblPrEx>
          <w:tblLayout w:type="fixed"/>
          <w:tblCellMar>
            <w:top w:w="0" w:type="dxa"/>
            <w:left w:w="108" w:type="dxa"/>
            <w:bottom w:w="0" w:type="dxa"/>
            <w:right w:w="108" w:type="dxa"/>
          </w:tblCellMar>
        </w:tblPrEx>
        <w:trPr>
          <w:trHeight w:val="600" w:hRule="atLeast"/>
        </w:trPr>
        <w:tc>
          <w:tcPr>
            <w:tcW w:w="437"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32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0"/>
                <w:szCs w:val="20"/>
              </w:rPr>
            </w:pPr>
          </w:p>
        </w:tc>
        <w:tc>
          <w:tcPr>
            <w:tcW w:w="2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0"/>
                <w:szCs w:val="20"/>
              </w:rPr>
            </w:pPr>
          </w:p>
        </w:tc>
        <w:tc>
          <w:tcPr>
            <w:tcW w:w="27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0"/>
                <w:szCs w:val="20"/>
              </w:rPr>
            </w:pPr>
          </w:p>
        </w:tc>
      </w:tr>
      <w:tr>
        <w:tblPrEx>
          <w:tblLayout w:type="fixed"/>
          <w:tblCellMar>
            <w:top w:w="0" w:type="dxa"/>
            <w:left w:w="108" w:type="dxa"/>
            <w:bottom w:w="0" w:type="dxa"/>
            <w:right w:w="108" w:type="dxa"/>
          </w:tblCellMar>
        </w:tblPrEx>
        <w:trPr>
          <w:trHeight w:val="600" w:hRule="atLeast"/>
        </w:trPr>
        <w:tc>
          <w:tcPr>
            <w:tcW w:w="43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三</w:t>
            </w:r>
            <w:r>
              <w:rPr>
                <w:rFonts w:hint="eastAsia" w:ascii="仿宋_GB2312" w:hAnsi="宋体" w:eastAsia="仿宋_GB2312" w:cs="宋体"/>
                <w:color w:val="000000"/>
                <w:kern w:val="0"/>
                <w:sz w:val="22"/>
                <w:szCs w:val="22"/>
              </w:rPr>
              <w:br w:type="textWrapping"/>
            </w:r>
            <w:r>
              <w:rPr>
                <w:rFonts w:hint="eastAsia" w:ascii="仿宋_GB2312" w:hAnsi="宋体" w:eastAsia="仿宋_GB2312" w:cs="宋体"/>
                <w:color w:val="000000"/>
                <w:kern w:val="0"/>
                <w:sz w:val="22"/>
                <w:szCs w:val="22"/>
              </w:rPr>
              <w:t>年</w:t>
            </w:r>
            <w:r>
              <w:rPr>
                <w:rFonts w:hint="eastAsia" w:ascii="仿宋_GB2312" w:hAnsi="宋体" w:eastAsia="仿宋_GB2312" w:cs="宋体"/>
                <w:color w:val="000000"/>
                <w:kern w:val="0"/>
                <w:sz w:val="22"/>
                <w:szCs w:val="22"/>
              </w:rPr>
              <w:br w:type="textWrapping"/>
            </w:r>
            <w:r>
              <w:rPr>
                <w:rFonts w:hint="eastAsia" w:ascii="仿宋_GB2312" w:hAnsi="宋体" w:eastAsia="仿宋_GB2312" w:cs="宋体"/>
                <w:color w:val="000000"/>
                <w:kern w:val="0"/>
                <w:sz w:val="22"/>
                <w:szCs w:val="22"/>
              </w:rPr>
              <w:t>级</w:t>
            </w:r>
          </w:p>
        </w:tc>
        <w:tc>
          <w:tcPr>
            <w:tcW w:w="32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水果的秘密</w:t>
            </w:r>
          </w:p>
        </w:tc>
        <w:tc>
          <w:tcPr>
            <w:tcW w:w="241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照片的漂亮外衣</w:t>
            </w:r>
          </w:p>
        </w:tc>
        <w:tc>
          <w:tcPr>
            <w:tcW w:w="277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我的小书包</w:t>
            </w:r>
          </w:p>
        </w:tc>
      </w:tr>
      <w:tr>
        <w:tblPrEx>
          <w:tblLayout w:type="fixed"/>
          <w:tblCellMar>
            <w:top w:w="0" w:type="dxa"/>
            <w:left w:w="108" w:type="dxa"/>
            <w:bottom w:w="0" w:type="dxa"/>
            <w:right w:w="108" w:type="dxa"/>
          </w:tblCellMar>
        </w:tblPrEx>
        <w:trPr>
          <w:trHeight w:val="600" w:hRule="atLeast"/>
        </w:trPr>
        <w:tc>
          <w:tcPr>
            <w:tcW w:w="437"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color w:val="000000"/>
                <w:kern w:val="0"/>
                <w:sz w:val="22"/>
                <w:szCs w:val="22"/>
              </w:rPr>
            </w:pPr>
          </w:p>
        </w:tc>
        <w:tc>
          <w:tcPr>
            <w:tcW w:w="32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可爱的小雪花</w:t>
            </w:r>
          </w:p>
        </w:tc>
        <w:tc>
          <w:tcPr>
            <w:tcW w:w="241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小图形大世界</w:t>
            </w:r>
          </w:p>
        </w:tc>
        <w:tc>
          <w:tcPr>
            <w:tcW w:w="277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钉纽扣</w:t>
            </w:r>
          </w:p>
        </w:tc>
      </w:tr>
      <w:tr>
        <w:tblPrEx>
          <w:tblLayout w:type="fixed"/>
          <w:tblCellMar>
            <w:top w:w="0" w:type="dxa"/>
            <w:left w:w="108" w:type="dxa"/>
            <w:bottom w:w="0" w:type="dxa"/>
            <w:right w:w="108" w:type="dxa"/>
          </w:tblCellMar>
        </w:tblPrEx>
        <w:trPr>
          <w:trHeight w:val="600" w:hRule="atLeast"/>
        </w:trPr>
        <w:tc>
          <w:tcPr>
            <w:tcW w:w="43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四</w:t>
            </w:r>
            <w:r>
              <w:rPr>
                <w:rFonts w:hint="eastAsia" w:ascii="仿宋_GB2312" w:hAnsi="宋体" w:eastAsia="仿宋_GB2312" w:cs="宋体"/>
                <w:color w:val="000000"/>
                <w:kern w:val="0"/>
                <w:sz w:val="22"/>
                <w:szCs w:val="22"/>
              </w:rPr>
              <w:br w:type="textWrapping"/>
            </w:r>
            <w:r>
              <w:rPr>
                <w:rFonts w:hint="eastAsia" w:ascii="仿宋_GB2312" w:hAnsi="宋体" w:eastAsia="仿宋_GB2312" w:cs="宋体"/>
                <w:color w:val="000000"/>
                <w:kern w:val="0"/>
                <w:sz w:val="22"/>
                <w:szCs w:val="22"/>
              </w:rPr>
              <w:t>年</w:t>
            </w:r>
            <w:r>
              <w:rPr>
                <w:rFonts w:hint="eastAsia" w:ascii="仿宋_GB2312" w:hAnsi="宋体" w:eastAsia="仿宋_GB2312" w:cs="宋体"/>
                <w:color w:val="000000"/>
                <w:kern w:val="0"/>
                <w:sz w:val="22"/>
                <w:szCs w:val="22"/>
              </w:rPr>
              <w:br w:type="textWrapping"/>
            </w:r>
            <w:r>
              <w:rPr>
                <w:rFonts w:hint="eastAsia" w:ascii="仿宋_GB2312" w:hAnsi="宋体" w:eastAsia="仿宋_GB2312" w:cs="宋体"/>
                <w:color w:val="000000"/>
                <w:kern w:val="0"/>
                <w:sz w:val="22"/>
                <w:szCs w:val="22"/>
              </w:rPr>
              <w:t>级</w:t>
            </w:r>
          </w:p>
        </w:tc>
        <w:tc>
          <w:tcPr>
            <w:tcW w:w="32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我们的牙齿</w:t>
            </w:r>
          </w:p>
        </w:tc>
        <w:tc>
          <w:tcPr>
            <w:tcW w:w="241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趣味运动会总动员</w:t>
            </w:r>
          </w:p>
        </w:tc>
        <w:tc>
          <w:tcPr>
            <w:tcW w:w="277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今天我当家</w:t>
            </w:r>
          </w:p>
        </w:tc>
      </w:tr>
      <w:tr>
        <w:tblPrEx>
          <w:tblLayout w:type="fixed"/>
          <w:tblCellMar>
            <w:top w:w="0" w:type="dxa"/>
            <w:left w:w="108" w:type="dxa"/>
            <w:bottom w:w="0" w:type="dxa"/>
            <w:right w:w="108" w:type="dxa"/>
          </w:tblCellMar>
        </w:tblPrEx>
        <w:trPr>
          <w:trHeight w:val="600" w:hRule="atLeast"/>
        </w:trPr>
        <w:tc>
          <w:tcPr>
            <w:tcW w:w="437"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szCs w:val="22"/>
              </w:rPr>
            </w:pPr>
          </w:p>
        </w:tc>
        <w:tc>
          <w:tcPr>
            <w:tcW w:w="32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关于食品添加剂的小调查</w:t>
            </w:r>
          </w:p>
        </w:tc>
        <w:tc>
          <w:tcPr>
            <w:tcW w:w="241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合作与分享</w:t>
            </w:r>
          </w:p>
        </w:tc>
        <w:tc>
          <w:tcPr>
            <w:tcW w:w="277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p>
        </w:tc>
      </w:tr>
      <w:tr>
        <w:tblPrEx>
          <w:tblLayout w:type="fixed"/>
          <w:tblCellMar>
            <w:top w:w="0" w:type="dxa"/>
            <w:left w:w="108" w:type="dxa"/>
            <w:bottom w:w="0" w:type="dxa"/>
            <w:right w:w="108" w:type="dxa"/>
          </w:tblCellMar>
        </w:tblPrEx>
        <w:trPr>
          <w:trHeight w:val="600" w:hRule="atLeast"/>
        </w:trPr>
        <w:tc>
          <w:tcPr>
            <w:tcW w:w="437"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szCs w:val="22"/>
              </w:rPr>
            </w:pPr>
          </w:p>
        </w:tc>
        <w:tc>
          <w:tcPr>
            <w:tcW w:w="32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神奇的莫比乌斯圈</w:t>
            </w:r>
          </w:p>
        </w:tc>
        <w:tc>
          <w:tcPr>
            <w:tcW w:w="241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c>
          <w:tcPr>
            <w:tcW w:w="277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p>
        </w:tc>
      </w:tr>
      <w:tr>
        <w:tblPrEx>
          <w:tblLayout w:type="fixed"/>
          <w:tblCellMar>
            <w:top w:w="0" w:type="dxa"/>
            <w:left w:w="108" w:type="dxa"/>
            <w:bottom w:w="0" w:type="dxa"/>
            <w:right w:w="108" w:type="dxa"/>
          </w:tblCellMar>
        </w:tblPrEx>
        <w:trPr>
          <w:trHeight w:val="600" w:hRule="atLeast"/>
        </w:trPr>
        <w:tc>
          <w:tcPr>
            <w:tcW w:w="43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五</w:t>
            </w:r>
            <w:r>
              <w:rPr>
                <w:rFonts w:hint="eastAsia" w:ascii="仿宋_GB2312" w:hAnsi="宋体" w:eastAsia="仿宋_GB2312" w:cs="宋体"/>
                <w:color w:val="000000"/>
                <w:kern w:val="0"/>
                <w:sz w:val="22"/>
                <w:szCs w:val="22"/>
              </w:rPr>
              <w:br w:type="textWrapping"/>
            </w:r>
            <w:r>
              <w:rPr>
                <w:rFonts w:hint="eastAsia" w:ascii="仿宋_GB2312" w:hAnsi="宋体" w:eastAsia="仿宋_GB2312" w:cs="宋体"/>
                <w:color w:val="000000"/>
                <w:kern w:val="0"/>
                <w:sz w:val="22"/>
                <w:szCs w:val="22"/>
              </w:rPr>
              <w:t>年</w:t>
            </w:r>
            <w:r>
              <w:rPr>
                <w:rFonts w:hint="eastAsia" w:ascii="仿宋_GB2312" w:hAnsi="宋体" w:eastAsia="仿宋_GB2312" w:cs="宋体"/>
                <w:color w:val="000000"/>
                <w:kern w:val="0"/>
                <w:sz w:val="22"/>
                <w:szCs w:val="22"/>
              </w:rPr>
              <w:br w:type="textWrapping"/>
            </w:r>
            <w:r>
              <w:rPr>
                <w:rFonts w:hint="eastAsia" w:ascii="仿宋_GB2312" w:hAnsi="宋体" w:eastAsia="仿宋_GB2312" w:cs="宋体"/>
                <w:color w:val="000000"/>
                <w:kern w:val="0"/>
                <w:sz w:val="22"/>
                <w:szCs w:val="22"/>
              </w:rPr>
              <w:t>级</w:t>
            </w:r>
          </w:p>
        </w:tc>
        <w:tc>
          <w:tcPr>
            <w:tcW w:w="32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早餐的学问</w:t>
            </w:r>
          </w:p>
        </w:tc>
        <w:tc>
          <w:tcPr>
            <w:tcW w:w="241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顽皮的手偶</w:t>
            </w:r>
          </w:p>
        </w:tc>
        <w:tc>
          <w:tcPr>
            <w:tcW w:w="277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保护环境</w:t>
            </w:r>
            <w:r>
              <w:rPr>
                <w:rFonts w:ascii="仿宋_GB2312" w:hAnsi="宋体" w:eastAsia="仿宋_GB2312" w:cs="宋体"/>
                <w:color w:val="000000"/>
                <w:kern w:val="0"/>
                <w:sz w:val="20"/>
                <w:szCs w:val="20"/>
              </w:rPr>
              <w:t>—</w:t>
            </w:r>
            <w:r>
              <w:rPr>
                <w:rFonts w:hint="eastAsia" w:ascii="仿宋_GB2312" w:hAnsi="宋体" w:eastAsia="仿宋_GB2312" w:cs="宋体"/>
                <w:color w:val="000000"/>
                <w:kern w:val="0"/>
                <w:sz w:val="20"/>
                <w:szCs w:val="20"/>
              </w:rPr>
              <w:t>我们在行动</w:t>
            </w:r>
          </w:p>
        </w:tc>
      </w:tr>
      <w:tr>
        <w:tblPrEx>
          <w:tblLayout w:type="fixed"/>
          <w:tblCellMar>
            <w:top w:w="0" w:type="dxa"/>
            <w:left w:w="108" w:type="dxa"/>
            <w:bottom w:w="0" w:type="dxa"/>
            <w:right w:w="108" w:type="dxa"/>
          </w:tblCellMar>
        </w:tblPrEx>
        <w:trPr>
          <w:trHeight w:val="600" w:hRule="atLeast"/>
        </w:trPr>
        <w:tc>
          <w:tcPr>
            <w:tcW w:w="437"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color w:val="000000"/>
                <w:kern w:val="0"/>
                <w:sz w:val="22"/>
                <w:szCs w:val="22"/>
              </w:rPr>
            </w:pPr>
          </w:p>
        </w:tc>
        <w:tc>
          <w:tcPr>
            <w:tcW w:w="32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探寻生活中的小窍门</w:t>
            </w:r>
          </w:p>
        </w:tc>
        <w:tc>
          <w:tcPr>
            <w:tcW w:w="241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制作平衡玩具</w:t>
            </w:r>
          </w:p>
        </w:tc>
        <w:tc>
          <w:tcPr>
            <w:tcW w:w="277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p>
        </w:tc>
      </w:tr>
      <w:tr>
        <w:tblPrEx>
          <w:tblLayout w:type="fixed"/>
          <w:tblCellMar>
            <w:top w:w="0" w:type="dxa"/>
            <w:left w:w="108" w:type="dxa"/>
            <w:bottom w:w="0" w:type="dxa"/>
            <w:right w:w="108" w:type="dxa"/>
          </w:tblCellMar>
        </w:tblPrEx>
        <w:trPr>
          <w:trHeight w:val="600" w:hRule="atLeast"/>
        </w:trPr>
        <w:tc>
          <w:tcPr>
            <w:tcW w:w="437"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color w:val="000000"/>
                <w:kern w:val="0"/>
                <w:sz w:val="22"/>
                <w:szCs w:val="22"/>
              </w:rPr>
            </w:pPr>
          </w:p>
        </w:tc>
        <w:tc>
          <w:tcPr>
            <w:tcW w:w="32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家乡的特产</w:t>
            </w:r>
          </w:p>
        </w:tc>
        <w:tc>
          <w:tcPr>
            <w:tcW w:w="241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p>
        </w:tc>
        <w:tc>
          <w:tcPr>
            <w:tcW w:w="277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p>
        </w:tc>
      </w:tr>
      <w:tr>
        <w:tblPrEx>
          <w:tblLayout w:type="fixed"/>
          <w:tblCellMar>
            <w:top w:w="0" w:type="dxa"/>
            <w:left w:w="108" w:type="dxa"/>
            <w:bottom w:w="0" w:type="dxa"/>
            <w:right w:w="108" w:type="dxa"/>
          </w:tblCellMar>
        </w:tblPrEx>
        <w:trPr>
          <w:trHeight w:val="600" w:hRule="atLeast"/>
        </w:trPr>
        <w:tc>
          <w:tcPr>
            <w:tcW w:w="43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六</w:t>
            </w:r>
            <w:r>
              <w:rPr>
                <w:rFonts w:hint="eastAsia" w:ascii="仿宋_GB2312" w:hAnsi="宋体" w:eastAsia="仿宋_GB2312" w:cs="宋体"/>
                <w:color w:val="000000"/>
                <w:kern w:val="0"/>
                <w:sz w:val="22"/>
                <w:szCs w:val="22"/>
              </w:rPr>
              <w:br w:type="textWrapping"/>
            </w:r>
            <w:r>
              <w:rPr>
                <w:rFonts w:hint="eastAsia" w:ascii="仿宋_GB2312" w:hAnsi="宋体" w:eastAsia="仿宋_GB2312" w:cs="宋体"/>
                <w:color w:val="000000"/>
                <w:kern w:val="0"/>
                <w:sz w:val="22"/>
                <w:szCs w:val="22"/>
              </w:rPr>
              <w:t>年</w:t>
            </w:r>
            <w:r>
              <w:rPr>
                <w:rFonts w:hint="eastAsia" w:ascii="仿宋_GB2312" w:hAnsi="宋体" w:eastAsia="仿宋_GB2312" w:cs="宋体"/>
                <w:color w:val="000000"/>
                <w:kern w:val="0"/>
                <w:sz w:val="22"/>
                <w:szCs w:val="22"/>
              </w:rPr>
              <w:br w:type="textWrapping"/>
            </w:r>
            <w:r>
              <w:rPr>
                <w:rFonts w:hint="eastAsia" w:ascii="仿宋_GB2312" w:hAnsi="宋体" w:eastAsia="仿宋_GB2312" w:cs="宋体"/>
                <w:color w:val="000000"/>
                <w:kern w:val="0"/>
                <w:sz w:val="22"/>
                <w:szCs w:val="22"/>
              </w:rPr>
              <w:t>级</w:t>
            </w:r>
          </w:p>
        </w:tc>
        <w:tc>
          <w:tcPr>
            <w:tcW w:w="32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中华传统节日</w:t>
            </w:r>
          </w:p>
        </w:tc>
        <w:tc>
          <w:tcPr>
            <w:tcW w:w="241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新年联欢会</w:t>
            </w:r>
          </w:p>
        </w:tc>
        <w:tc>
          <w:tcPr>
            <w:tcW w:w="277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绝处逢生</w:t>
            </w:r>
          </w:p>
        </w:tc>
      </w:tr>
      <w:tr>
        <w:tblPrEx>
          <w:tblLayout w:type="fixed"/>
          <w:tblCellMar>
            <w:top w:w="0" w:type="dxa"/>
            <w:left w:w="108" w:type="dxa"/>
            <w:bottom w:w="0" w:type="dxa"/>
            <w:right w:w="108" w:type="dxa"/>
          </w:tblCellMar>
        </w:tblPrEx>
        <w:trPr>
          <w:trHeight w:val="600" w:hRule="atLeast"/>
        </w:trPr>
        <w:tc>
          <w:tcPr>
            <w:tcW w:w="437"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color w:val="000000"/>
                <w:kern w:val="0"/>
                <w:sz w:val="22"/>
                <w:szCs w:val="22"/>
              </w:rPr>
            </w:pPr>
          </w:p>
        </w:tc>
        <w:tc>
          <w:tcPr>
            <w:tcW w:w="32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我的家庭</w:t>
            </w:r>
          </w:p>
        </w:tc>
        <w:tc>
          <w:tcPr>
            <w:tcW w:w="241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毕业纪念册</w:t>
            </w:r>
          </w:p>
        </w:tc>
        <w:tc>
          <w:tcPr>
            <w:tcW w:w="277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p>
        </w:tc>
      </w:tr>
      <w:tr>
        <w:tblPrEx>
          <w:tblLayout w:type="fixed"/>
          <w:tblCellMar>
            <w:top w:w="0" w:type="dxa"/>
            <w:left w:w="108" w:type="dxa"/>
            <w:bottom w:w="0" w:type="dxa"/>
            <w:right w:w="108" w:type="dxa"/>
          </w:tblCellMar>
        </w:tblPrEx>
        <w:trPr>
          <w:trHeight w:val="810" w:hRule="atLeast"/>
        </w:trPr>
        <w:tc>
          <w:tcPr>
            <w:tcW w:w="43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三</w:t>
            </w:r>
            <w:r>
              <w:rPr>
                <w:rFonts w:hint="eastAsia" w:ascii="仿宋_GB2312" w:hAnsi="宋体" w:eastAsia="仿宋_GB2312" w:cs="宋体"/>
                <w:color w:val="000000"/>
                <w:kern w:val="0"/>
                <w:sz w:val="22"/>
                <w:szCs w:val="22"/>
              </w:rPr>
              <w:br w:type="textWrapping"/>
            </w:r>
            <w:r>
              <w:rPr>
                <w:rFonts w:hint="eastAsia" w:ascii="仿宋_GB2312" w:hAnsi="宋体" w:eastAsia="仿宋_GB2312" w:cs="宋体"/>
                <w:color w:val="000000"/>
                <w:kern w:val="0"/>
                <w:sz w:val="22"/>
                <w:szCs w:val="22"/>
              </w:rPr>
              <w:t>至</w:t>
            </w:r>
            <w:r>
              <w:rPr>
                <w:rFonts w:hint="eastAsia" w:ascii="仿宋_GB2312" w:hAnsi="宋体" w:eastAsia="仿宋_GB2312" w:cs="宋体"/>
                <w:color w:val="000000"/>
                <w:kern w:val="0"/>
                <w:sz w:val="22"/>
                <w:szCs w:val="22"/>
              </w:rPr>
              <w:br w:type="textWrapping"/>
            </w:r>
            <w:r>
              <w:rPr>
                <w:rFonts w:hint="eastAsia" w:ascii="仿宋_GB2312" w:hAnsi="宋体" w:eastAsia="仿宋_GB2312" w:cs="宋体"/>
                <w:color w:val="000000"/>
                <w:kern w:val="0"/>
                <w:sz w:val="22"/>
                <w:szCs w:val="22"/>
              </w:rPr>
              <w:t>六</w:t>
            </w:r>
          </w:p>
        </w:tc>
        <w:tc>
          <w:tcPr>
            <w:tcW w:w="847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通用：期末快乐大盘点</w:t>
            </w:r>
          </w:p>
        </w:tc>
      </w:tr>
      <w:tr>
        <w:tblPrEx>
          <w:tblLayout w:type="fixed"/>
          <w:tblCellMar>
            <w:top w:w="0" w:type="dxa"/>
            <w:left w:w="108" w:type="dxa"/>
            <w:bottom w:w="0" w:type="dxa"/>
            <w:right w:w="108" w:type="dxa"/>
          </w:tblCellMar>
        </w:tblPrEx>
        <w:trPr>
          <w:trHeight w:val="270" w:hRule="atLeast"/>
        </w:trPr>
        <w:tc>
          <w:tcPr>
            <w:tcW w:w="8907" w:type="dxa"/>
            <w:gridSpan w:val="4"/>
            <w:tcBorders>
              <w:top w:val="nil"/>
              <w:left w:val="nil"/>
              <w:bottom w:val="nil"/>
              <w:right w:val="nil"/>
            </w:tcBorders>
            <w:shd w:val="clear" w:color="auto" w:fill="auto"/>
            <w:vAlign w:val="center"/>
          </w:tcPr>
          <w:p>
            <w:pPr>
              <w:widowControl/>
              <w:jc w:val="center"/>
              <w:rPr>
                <w:rFonts w:ascii="仿宋_GB2312" w:hAnsi="宋体" w:eastAsia="仿宋_GB2312" w:cs="宋体"/>
                <w:color w:val="000000"/>
                <w:kern w:val="0"/>
                <w:sz w:val="22"/>
                <w:szCs w:val="22"/>
              </w:rPr>
            </w:pPr>
          </w:p>
        </w:tc>
      </w:tr>
      <w:tr>
        <w:tblPrEx>
          <w:tblLayout w:type="fixed"/>
          <w:tblCellMar>
            <w:top w:w="0" w:type="dxa"/>
            <w:left w:w="108" w:type="dxa"/>
            <w:bottom w:w="0" w:type="dxa"/>
            <w:right w:w="108" w:type="dxa"/>
          </w:tblCellMar>
        </w:tblPrEx>
        <w:trPr>
          <w:trHeight w:val="810" w:hRule="atLeast"/>
        </w:trPr>
        <w:tc>
          <w:tcPr>
            <w:tcW w:w="8907" w:type="dxa"/>
            <w:gridSpan w:val="4"/>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注明：A-每年级八个主题，每个主题3课时，期末快乐大盘点为2课时，每年级共计26课时。</w:t>
            </w:r>
          </w:p>
        </w:tc>
      </w:tr>
      <w:tr>
        <w:tblPrEx>
          <w:tblLayout w:type="fixed"/>
          <w:tblCellMar>
            <w:top w:w="0" w:type="dxa"/>
            <w:left w:w="108" w:type="dxa"/>
            <w:bottom w:w="0" w:type="dxa"/>
            <w:right w:w="108" w:type="dxa"/>
          </w:tblCellMar>
        </w:tblPrEx>
        <w:trPr>
          <w:trHeight w:val="270" w:hRule="atLeast"/>
        </w:trPr>
        <w:tc>
          <w:tcPr>
            <w:tcW w:w="8907" w:type="dxa"/>
            <w:gridSpan w:val="4"/>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xml:space="preserve">      B-要精心设计每个主题三个阶段教学环节，每个阶段要有时间节点。</w:t>
            </w:r>
          </w:p>
        </w:tc>
      </w:tr>
    </w:tbl>
    <w:p>
      <w:pPr>
        <w:spacing w:line="360" w:lineRule="auto"/>
        <w:rPr>
          <w:rFonts w:ascii="仿宋_GB2312" w:eastAsia="仿宋_GB2312"/>
          <w:sz w:val="24"/>
          <w:szCs w:val="24"/>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5357433"/>
      <w:docPartObj>
        <w:docPartGallery w:val="AutoText"/>
      </w:docPartObj>
    </w:sdtPr>
    <w:sdtContent>
      <w:p>
        <w:pPr>
          <w:pStyle w:val="2"/>
          <w:jc w:val="center"/>
        </w:pPr>
        <w:r>
          <w:fldChar w:fldCharType="begin"/>
        </w:r>
        <w:r>
          <w:instrText xml:space="preserve"> PAGE   \* MERGEFORMAT </w:instrText>
        </w:r>
        <w:r>
          <w:fldChar w:fldCharType="separate"/>
        </w:r>
        <w:r>
          <w:rPr>
            <w:lang w:val="zh-CN"/>
          </w:rPr>
          <w:t>6</w:t>
        </w:r>
        <w:r>
          <w:rPr>
            <w:lang w:val="zh-CN"/>
          </w:rP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593B0E"/>
    <w:multiLevelType w:val="multilevel"/>
    <w:tmpl w:val="2B593B0E"/>
    <w:lvl w:ilvl="0" w:tentative="0">
      <w:start w:val="1"/>
      <w:numFmt w:val="lowerLetter"/>
      <w:lvlText w:val="%1-"/>
      <w:lvlJc w:val="left"/>
      <w:pPr>
        <w:ind w:left="1400" w:hanging="84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17E"/>
    <w:rsid w:val="00003D4F"/>
    <w:rsid w:val="00040F30"/>
    <w:rsid w:val="00043343"/>
    <w:rsid w:val="00052EE4"/>
    <w:rsid w:val="000A236A"/>
    <w:rsid w:val="000C7486"/>
    <w:rsid w:val="000C7C9C"/>
    <w:rsid w:val="000F0183"/>
    <w:rsid w:val="00155A1E"/>
    <w:rsid w:val="0017390B"/>
    <w:rsid w:val="00195AC4"/>
    <w:rsid w:val="001D179D"/>
    <w:rsid w:val="00225AB6"/>
    <w:rsid w:val="0025373D"/>
    <w:rsid w:val="0027522E"/>
    <w:rsid w:val="00277B0D"/>
    <w:rsid w:val="002A040D"/>
    <w:rsid w:val="002B3E59"/>
    <w:rsid w:val="002D7E9A"/>
    <w:rsid w:val="002E0FAD"/>
    <w:rsid w:val="002E2F0D"/>
    <w:rsid w:val="00313400"/>
    <w:rsid w:val="00331CBA"/>
    <w:rsid w:val="0035511C"/>
    <w:rsid w:val="003B7EAE"/>
    <w:rsid w:val="004271F1"/>
    <w:rsid w:val="004557D0"/>
    <w:rsid w:val="00464689"/>
    <w:rsid w:val="004755EB"/>
    <w:rsid w:val="004868C8"/>
    <w:rsid w:val="004A282C"/>
    <w:rsid w:val="004C0A23"/>
    <w:rsid w:val="004D46DE"/>
    <w:rsid w:val="005264FA"/>
    <w:rsid w:val="0056215D"/>
    <w:rsid w:val="00570016"/>
    <w:rsid w:val="00576D9C"/>
    <w:rsid w:val="005A007F"/>
    <w:rsid w:val="00633643"/>
    <w:rsid w:val="0063489F"/>
    <w:rsid w:val="00650BE4"/>
    <w:rsid w:val="0065343F"/>
    <w:rsid w:val="0068217E"/>
    <w:rsid w:val="00687FDE"/>
    <w:rsid w:val="006D5826"/>
    <w:rsid w:val="006E25A6"/>
    <w:rsid w:val="006F032A"/>
    <w:rsid w:val="00713944"/>
    <w:rsid w:val="00734C00"/>
    <w:rsid w:val="00773B64"/>
    <w:rsid w:val="00777D22"/>
    <w:rsid w:val="007C1EEC"/>
    <w:rsid w:val="007D61F2"/>
    <w:rsid w:val="007E39D4"/>
    <w:rsid w:val="007E5DD5"/>
    <w:rsid w:val="00807896"/>
    <w:rsid w:val="008539A4"/>
    <w:rsid w:val="008556A0"/>
    <w:rsid w:val="008E1B43"/>
    <w:rsid w:val="008F067F"/>
    <w:rsid w:val="00907B9E"/>
    <w:rsid w:val="00941B72"/>
    <w:rsid w:val="0094629D"/>
    <w:rsid w:val="0096658B"/>
    <w:rsid w:val="009E2A2F"/>
    <w:rsid w:val="009E333F"/>
    <w:rsid w:val="009E422D"/>
    <w:rsid w:val="009E6BD6"/>
    <w:rsid w:val="00A06126"/>
    <w:rsid w:val="00A31DD9"/>
    <w:rsid w:val="00A356EE"/>
    <w:rsid w:val="00A46CAC"/>
    <w:rsid w:val="00A512C8"/>
    <w:rsid w:val="00A538AF"/>
    <w:rsid w:val="00A84F2D"/>
    <w:rsid w:val="00A914F2"/>
    <w:rsid w:val="00A94596"/>
    <w:rsid w:val="00AD5552"/>
    <w:rsid w:val="00AD6A2C"/>
    <w:rsid w:val="00AE41EE"/>
    <w:rsid w:val="00B20AEE"/>
    <w:rsid w:val="00B41F8F"/>
    <w:rsid w:val="00B72FB2"/>
    <w:rsid w:val="00B96DE4"/>
    <w:rsid w:val="00BB405A"/>
    <w:rsid w:val="00BC3278"/>
    <w:rsid w:val="00BD225E"/>
    <w:rsid w:val="00BF2F87"/>
    <w:rsid w:val="00C370F5"/>
    <w:rsid w:val="00C451D6"/>
    <w:rsid w:val="00C800D1"/>
    <w:rsid w:val="00C93489"/>
    <w:rsid w:val="00CD2EB3"/>
    <w:rsid w:val="00CD6898"/>
    <w:rsid w:val="00D102F8"/>
    <w:rsid w:val="00D31518"/>
    <w:rsid w:val="00D32C6F"/>
    <w:rsid w:val="00D4431B"/>
    <w:rsid w:val="00D50E47"/>
    <w:rsid w:val="00D54656"/>
    <w:rsid w:val="00D94DC7"/>
    <w:rsid w:val="00D96F5E"/>
    <w:rsid w:val="00DB5DBD"/>
    <w:rsid w:val="00DC5E47"/>
    <w:rsid w:val="00DD0418"/>
    <w:rsid w:val="00DD0DDF"/>
    <w:rsid w:val="00DD326E"/>
    <w:rsid w:val="00DE0425"/>
    <w:rsid w:val="00DE0CF9"/>
    <w:rsid w:val="00E03F89"/>
    <w:rsid w:val="00E3683C"/>
    <w:rsid w:val="00E620E7"/>
    <w:rsid w:val="00E63C2F"/>
    <w:rsid w:val="00E80A69"/>
    <w:rsid w:val="00E813FC"/>
    <w:rsid w:val="00EB3CD1"/>
    <w:rsid w:val="00EE42CF"/>
    <w:rsid w:val="00EF4DD8"/>
    <w:rsid w:val="00F00DB8"/>
    <w:rsid w:val="00F176BB"/>
    <w:rsid w:val="00F4000D"/>
    <w:rsid w:val="00F44A92"/>
    <w:rsid w:val="00F857F4"/>
    <w:rsid w:val="00F9189B"/>
    <w:rsid w:val="00F965F1"/>
    <w:rsid w:val="00FB3038"/>
    <w:rsid w:val="00FE094B"/>
    <w:rsid w:val="00FE6673"/>
    <w:rsid w:val="127327E8"/>
    <w:rsid w:val="33014D4F"/>
    <w:rsid w:val="4AF015E8"/>
    <w:rsid w:val="518671E8"/>
    <w:rsid w:val="53730D53"/>
    <w:rsid w:val="613C23A7"/>
    <w:rsid w:val="7EDA649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uiPriority w:val="99"/>
    <w:rPr>
      <w:color w:val="0000FF"/>
      <w:u w:val="single"/>
    </w:rPr>
  </w:style>
  <w:style w:type="character" w:customStyle="1" w:styleId="7">
    <w:name w:val="页眉 Char"/>
    <w:basedOn w:val="4"/>
    <w:link w:val="3"/>
    <w:qFormat/>
    <w:uiPriority w:val="0"/>
    <w:rPr>
      <w:rFonts w:ascii="Calibri" w:hAnsi="Calibri" w:eastAsia="宋体" w:cs="Calibri"/>
      <w:kern w:val="2"/>
      <w:sz w:val="18"/>
      <w:szCs w:val="18"/>
    </w:rPr>
  </w:style>
  <w:style w:type="character" w:customStyle="1" w:styleId="8">
    <w:name w:val="页脚 Char"/>
    <w:basedOn w:val="4"/>
    <w:link w:val="2"/>
    <w:qFormat/>
    <w:uiPriority w:val="99"/>
    <w:rPr>
      <w:rFonts w:ascii="Calibri" w:hAnsi="Calibri" w:eastAsia="宋体" w:cs="Calibri"/>
      <w:kern w:val="2"/>
      <w:sz w:val="18"/>
      <w:szCs w:val="18"/>
    </w:rPr>
  </w:style>
  <w:style w:type="paragraph" w:styleId="9">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7</Pages>
  <Words>498</Words>
  <Characters>2842</Characters>
  <Lines>23</Lines>
  <Paragraphs>6</Paragraphs>
  <TotalTime>1802</TotalTime>
  <ScaleCrop>false</ScaleCrop>
  <LinksUpToDate>false</LinksUpToDate>
  <CharactersWithSpaces>3334</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2017-03-15T07:03:00Z</dcterms:created>
  <dc:creator>Administrator</dc:creator>
  <cp:lastModifiedBy>红鲤鱼</cp:lastModifiedBy>
  <cp:lastPrinted>2018-09-25T00:12:00Z</cp:lastPrinted>
  <dcterms:modified xsi:type="dcterms:W3CDTF">2018-09-28T06:16:40Z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