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8"/>
          <w:szCs w:val="28"/>
        </w:rPr>
        <w:t>浅谈如何设计有效的“导学案”</w:t>
      </w:r>
    </w:p>
    <w:p>
      <w:pPr>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长海县第八中学   </w:t>
      </w:r>
      <w:bookmarkStart w:id="0" w:name="_GoBack"/>
      <w:r>
        <w:rPr>
          <w:rFonts w:hint="eastAsia" w:asciiTheme="majorEastAsia" w:hAnsiTheme="majorEastAsia" w:eastAsiaTheme="majorEastAsia" w:cstheme="majorEastAsia"/>
          <w:bCs/>
          <w:sz w:val="24"/>
        </w:rPr>
        <w:t>王丹</w:t>
      </w:r>
      <w:bookmarkEnd w:id="0"/>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了综合提升课堂教学效益，践行教与学行为方式转变的思想，凸显学生学习主体地位，以“先学后教”为教学基本策略，运用导学案和开展小组合作学习已经成为主要的教学方式方法。“学案导学”是当前课堂教学的一个重要手段，但本学期在导学案的使用过程中，也发现了许多问题，如导学案和试卷相混淆、导学案翻版课本、导学案编制的粗糙等，严重影响了导学案教学辅助功能和价值的发挥。下面就导学案设计和编制谈谈我自己的一些粗浅的做法。</w:t>
      </w:r>
    </w:p>
    <w:p>
      <w:pPr>
        <w:numPr>
          <w:ilvl w:val="0"/>
          <w:numId w:val="1"/>
        </w:num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学习目标的制定</w:t>
      </w:r>
    </w:p>
    <w:p>
      <w:pPr>
        <w:spacing w:line="360" w:lineRule="auto"/>
        <w:ind w:firstLine="480" w:firstLineChars="200"/>
        <w:rPr>
          <w:rFonts w:asciiTheme="minorEastAsia" w:hAnsiTheme="minorEastAsia" w:eastAsiaTheme="minorEastAsia" w:cstheme="minorEastAsia"/>
          <w:kern w:val="24"/>
          <w:sz w:val="24"/>
        </w:rPr>
      </w:pPr>
      <w:r>
        <w:rPr>
          <w:rFonts w:hint="eastAsia" w:asciiTheme="minorEastAsia" w:hAnsiTheme="minorEastAsia" w:eastAsiaTheme="minorEastAsia" w:cstheme="minorEastAsia"/>
          <w:sz w:val="24"/>
        </w:rPr>
        <w:t>学习目标和教学目标不同，它针对的是学生，传达的是学生本节课的学习内容和预期目标。学习目标的制度需要</w:t>
      </w:r>
      <w:r>
        <w:rPr>
          <w:rFonts w:hint="eastAsia" w:asciiTheme="minorEastAsia" w:hAnsiTheme="minorEastAsia" w:eastAsiaTheme="minorEastAsia" w:cstheme="minorEastAsia"/>
          <w:kern w:val="24"/>
          <w:sz w:val="24"/>
        </w:rPr>
        <w:t>结合课标、考纲、学生的实际来制定。学习目标必须从课标中来，从学生的现状中来。学习目标的表述中大部分教师都运用的是“了解”“掌握”“初步学会”这些模糊的认知能力的动词，这样的动词虽然来源于课标，但在实际运用中会让学生无法准确判断和定位从而影响了学习效果。因此在设定学习目标时，可使用浅显易懂的词语来表述学习目标。比如在设计《离子》一课时，其中一条学习目标是这样设立的：“了解原子核外的电子是分层排布的”.若将其表述为“能画出元素周期表中前20位原子结构示意图，会看最外层电子数，能说出最外层电子需要得失几个电子达到稳定结构”，就会清晰许多。</w:t>
      </w:r>
    </w:p>
    <w:p>
      <w:pPr>
        <w:numPr>
          <w:ilvl w:val="0"/>
          <w:numId w:val="1"/>
        </w:numPr>
        <w:spacing w:line="360" w:lineRule="auto"/>
        <w:ind w:firstLine="480" w:firstLineChars="200"/>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t>课前预习</w:t>
      </w:r>
    </w:p>
    <w:p>
      <w:p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sz w:val="24"/>
        </w:rPr>
        <w:t xml:space="preserve">    课前预习的定位主要应该放在落实双基上，核心任务是解读教材，做好知识储备，帮助扫清解读教材过程中遇到的障碍，最好是在课前把熟悉教材的任务全部完成，让学生在上课前完成。我们来看看下面这篇关于《二氧化碳性质》</w:t>
      </w:r>
      <w:r>
        <w:rPr>
          <w:rFonts w:hint="eastAsia" w:asciiTheme="minorEastAsia" w:hAnsiTheme="minorEastAsia" w:eastAsiaTheme="minorEastAsia" w:cstheme="minorEastAsia"/>
          <w:kern w:val="24"/>
          <w:sz w:val="24"/>
        </w:rPr>
        <w:t>的导学案中课前预习部分：</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2"/>
              </w:numPr>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课前预习</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二氧化碳的物理性质</w:t>
            </w:r>
          </w:p>
          <w:p>
            <w:pPr>
              <w:numPr>
                <w:ilvl w:val="0"/>
                <w:numId w:val="3"/>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＿＿色＿＿味的＿＿＿。</w:t>
            </w:r>
          </w:p>
          <w:p>
            <w:pPr>
              <w:numPr>
                <w:ilvl w:val="0"/>
                <w:numId w:val="3"/>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密度：＿＿＿＿＿＿。</w:t>
            </w:r>
          </w:p>
          <w:p>
            <w:pPr>
              <w:numPr>
                <w:ilvl w:val="0"/>
                <w:numId w:val="3"/>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溶解性：＿＿＿＿＿</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固态二氧化碳称为＿＿＿，利用其＿＿＿＿＿的性质，因此用于＿＿＿＿＿</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5.能产生温室效应的气体都有＿＿＿、＿＿＿＿、＿＿＿＿、＿＿＿＿</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6.产生二氧化碳途径为＿＿＿＿＿＿＿＿＿＿、＿＿＿＿＿＿＿＿＿＿</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消耗二氧化碳途径是＿＿＿＿＿＿＿＿＿＿</w:t>
            </w:r>
          </w:p>
          <w:p>
            <w:pPr>
              <w:numPr>
                <w:ilvl w:val="0"/>
                <w:numId w:val="4"/>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二氧化碳含量不断上升原因＿＿＿＿＿＿＿＿＿＿、＿＿＿＿＿＿＿＿＿＿</w:t>
            </w:r>
          </w:p>
          <w:p>
            <w:pPr>
              <w:numPr>
                <w:ilvl w:val="0"/>
                <w:numId w:val="4"/>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全球变暖的危害：＿＿＿＿＿＿＿＿＿＿、＿＿＿＿＿＿＿＿＿＿</w:t>
            </w:r>
          </w:p>
          <w:p>
            <w:pPr>
              <w:numPr>
                <w:ilvl w:val="0"/>
                <w:numId w:val="4"/>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控制二氧化碳排放量的措施有（两点即可）＿＿＿＿＿＿＿＿＿＿＿＿＿＿＿、   </w:t>
            </w:r>
          </w:p>
          <w:p>
            <w:p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sz w:val="24"/>
              </w:rPr>
              <w:t xml:space="preserve">                                       ＿＿＿＿＿＿＿＿＿＿＿＿＿＿＿</w:t>
            </w:r>
          </w:p>
        </w:tc>
      </w:tr>
    </w:tbl>
    <w:p>
      <w:pPr>
        <w:spacing w:line="360" w:lineRule="auto"/>
        <w:ind w:firstLine="480" w:firstLineChars="200"/>
        <w:rPr>
          <w:rFonts w:asciiTheme="minorEastAsia" w:hAnsiTheme="minorEastAsia" w:eastAsiaTheme="minorEastAsia" w:cstheme="minorEastAsia"/>
          <w:kern w:val="24"/>
          <w:sz w:val="24"/>
        </w:rPr>
      </w:pPr>
      <w:r>
        <w:rPr>
          <w:rFonts w:hint="eastAsia" w:asciiTheme="minorEastAsia" w:hAnsiTheme="minorEastAsia" w:eastAsiaTheme="minorEastAsia" w:cstheme="minorEastAsia"/>
          <w:sz w:val="24"/>
        </w:rPr>
        <w:t>这样的导学案不难看出只是教材的翻版，只停留在翻书查阅资料填空上，只是引导学生翻阅教材，没有足够的思考的空间，也就达不到让学生仔细阅读教材的目的，无法引发学生思维的运转。导学案在课前预习的设计上不能只是照搬课本，问题的设计，答案的获取必须要经过思维的加工，要让学生对教材的内容进行必要的思考和分析，经过思维的学习过程，才会有更深刻的体会和更持久的记忆。因此，可将这篇导学案的课前预习部分设计如下：</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tcPr>
          <w:p>
            <w:pPr>
              <w:numPr>
                <w:ilvl w:val="0"/>
                <w:numId w:val="2"/>
              </w:numPr>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课前预习</w:t>
            </w:r>
          </w:p>
          <w:p>
            <w:pPr>
              <w:numPr>
                <w:ilvl w:val="0"/>
                <w:numId w:val="5"/>
              </w:numPr>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问题导学</w:t>
            </w:r>
          </w:p>
          <w:p>
            <w:pPr>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sym w:font="Wingdings" w:char="F081"/>
            </w:r>
            <w:r>
              <w:rPr>
                <w:rFonts w:hint="eastAsia" w:asciiTheme="minorEastAsia" w:hAnsiTheme="minorEastAsia" w:eastAsiaTheme="minorEastAsia" w:cstheme="minorEastAsia"/>
                <w:bCs/>
                <w:sz w:val="24"/>
              </w:rPr>
              <w:t>为什么我们要倡导“低碳”生活理念？</w:t>
            </w:r>
          </w:p>
          <w:p>
            <w:pPr>
              <w:spacing w:line="360" w:lineRule="auto"/>
              <w:jc w:val="left"/>
              <w:rPr>
                <w:rFonts w:asciiTheme="minorEastAsia" w:hAnsiTheme="minorEastAsia" w:eastAsiaTheme="minorEastAsia" w:cstheme="minorEastAsia"/>
                <w:bCs/>
                <w:sz w:val="24"/>
              </w:rPr>
            </w:pPr>
          </w:p>
          <w:p>
            <w:pPr>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sym w:font="Wingdings" w:char="F082"/>
            </w:r>
            <w:r>
              <w:rPr>
                <w:rFonts w:hint="eastAsia" w:asciiTheme="minorEastAsia" w:hAnsiTheme="minorEastAsia" w:eastAsiaTheme="minorEastAsia" w:cstheme="minorEastAsia"/>
                <w:bCs/>
                <w:sz w:val="24"/>
              </w:rPr>
              <w:t>二氧化碳对人类的生活和环境到底有着怎样的影响？</w:t>
            </w:r>
          </w:p>
          <w:p>
            <w:pPr>
              <w:spacing w:line="360" w:lineRule="auto"/>
              <w:jc w:val="left"/>
              <w:rPr>
                <w:rFonts w:asciiTheme="minorEastAsia" w:hAnsiTheme="minorEastAsia" w:eastAsiaTheme="minorEastAsia" w:cstheme="minorEastAsia"/>
                <w:bCs/>
                <w:sz w:val="24"/>
              </w:rPr>
            </w:pPr>
          </w:p>
          <w:p>
            <w:pPr>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2、知识梳理</w:t>
            </w:r>
          </w:p>
          <w:p>
            <w:p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sym w:font="Wingdings" w:char="F081"/>
            </w:r>
            <w:r>
              <w:rPr>
                <w:rFonts w:hint="eastAsia" w:asciiTheme="minorEastAsia" w:hAnsiTheme="minorEastAsia" w:eastAsiaTheme="minorEastAsia" w:cstheme="minorEastAsia"/>
                <w:kern w:val="24"/>
                <w:sz w:val="24"/>
              </w:rPr>
              <w:t>二氧化碳组成、结构和制法</w:t>
            </w:r>
          </w:p>
          <w:tbl>
            <w:tblPr>
              <w:tblStyle w:val="4"/>
              <w:tblpPr w:leftFromText="180" w:rightFromText="180" w:vertAnchor="text" w:horzAnchor="page" w:tblpX="52" w:tblpY="40"/>
              <w:tblOverlap w:val="never"/>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652"/>
              <w:gridCol w:w="1651"/>
              <w:gridCol w:w="1652"/>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52" w:type="dxa"/>
                </w:tcPr>
                <w:p>
                  <w:p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t xml:space="preserve">   化学式</w:t>
                  </w:r>
                </w:p>
              </w:tc>
              <w:tc>
                <w:tcPr>
                  <w:tcW w:w="1652" w:type="dxa"/>
                </w:tcPr>
                <w:p>
                  <w:p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t xml:space="preserve">   组成</w:t>
                  </w:r>
                </w:p>
              </w:tc>
              <w:tc>
                <w:tcPr>
                  <w:tcW w:w="1651" w:type="dxa"/>
                </w:tcPr>
                <w:p>
                  <w:p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t xml:space="preserve">   构成</w:t>
                  </w:r>
                </w:p>
              </w:tc>
              <w:tc>
                <w:tcPr>
                  <w:tcW w:w="1652" w:type="dxa"/>
                </w:tcPr>
                <w:p>
                  <w:p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t xml:space="preserve"> 实验室制法</w:t>
                  </w:r>
                </w:p>
              </w:tc>
              <w:tc>
                <w:tcPr>
                  <w:tcW w:w="1653" w:type="dxa"/>
                </w:tcPr>
                <w:p>
                  <w:p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t xml:space="preserve"> 反应原理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52" w:type="dxa"/>
                </w:tcPr>
                <w:p>
                  <w:pPr>
                    <w:spacing w:line="360" w:lineRule="auto"/>
                    <w:rPr>
                      <w:rFonts w:asciiTheme="minorEastAsia" w:hAnsiTheme="minorEastAsia" w:eastAsiaTheme="minorEastAsia" w:cstheme="minorEastAsia"/>
                      <w:kern w:val="24"/>
                      <w:sz w:val="24"/>
                    </w:rPr>
                  </w:pPr>
                </w:p>
              </w:tc>
              <w:tc>
                <w:tcPr>
                  <w:tcW w:w="1652" w:type="dxa"/>
                </w:tcPr>
                <w:p>
                  <w:pPr>
                    <w:spacing w:line="360" w:lineRule="auto"/>
                    <w:rPr>
                      <w:rFonts w:asciiTheme="minorEastAsia" w:hAnsiTheme="minorEastAsia" w:eastAsiaTheme="minorEastAsia" w:cstheme="minorEastAsia"/>
                      <w:kern w:val="24"/>
                      <w:sz w:val="24"/>
                    </w:rPr>
                  </w:pPr>
                </w:p>
              </w:tc>
              <w:tc>
                <w:tcPr>
                  <w:tcW w:w="1651" w:type="dxa"/>
                </w:tcPr>
                <w:p>
                  <w:pPr>
                    <w:spacing w:line="360" w:lineRule="auto"/>
                    <w:rPr>
                      <w:rFonts w:asciiTheme="minorEastAsia" w:hAnsiTheme="minorEastAsia" w:eastAsiaTheme="minorEastAsia" w:cstheme="minorEastAsia"/>
                      <w:kern w:val="24"/>
                      <w:sz w:val="24"/>
                    </w:rPr>
                  </w:pPr>
                </w:p>
              </w:tc>
              <w:tc>
                <w:tcPr>
                  <w:tcW w:w="1652" w:type="dxa"/>
                </w:tcPr>
                <w:p>
                  <w:pPr>
                    <w:spacing w:line="360" w:lineRule="auto"/>
                    <w:rPr>
                      <w:rFonts w:asciiTheme="minorEastAsia" w:hAnsiTheme="minorEastAsia" w:eastAsiaTheme="minorEastAsia" w:cstheme="minorEastAsia"/>
                      <w:kern w:val="24"/>
                      <w:sz w:val="24"/>
                    </w:rPr>
                  </w:pPr>
                </w:p>
              </w:tc>
              <w:tc>
                <w:tcPr>
                  <w:tcW w:w="1653" w:type="dxa"/>
                </w:tcPr>
                <w:p>
                  <w:pPr>
                    <w:spacing w:line="360" w:lineRule="auto"/>
                    <w:rPr>
                      <w:rFonts w:asciiTheme="minorEastAsia" w:hAnsiTheme="minorEastAsia" w:eastAsiaTheme="minorEastAsia" w:cstheme="minorEastAsia"/>
                      <w:kern w:val="24"/>
                      <w:sz w:val="24"/>
                    </w:rPr>
                  </w:pPr>
                </w:p>
              </w:tc>
            </w:tr>
          </w:tbl>
          <w:p>
            <w:p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sym w:font="Wingdings" w:char="F082"/>
            </w:r>
            <w:r>
              <w:rPr>
                <w:rFonts w:hint="eastAsia" w:asciiTheme="minorEastAsia" w:hAnsiTheme="minorEastAsia" w:eastAsiaTheme="minorEastAsia" w:cstheme="minorEastAsia"/>
                <w:kern w:val="24"/>
                <w:sz w:val="24"/>
              </w:rPr>
              <w:t>二氧化碳物理性质</w:t>
            </w:r>
          </w:p>
          <w:tbl>
            <w:tblPr>
              <w:tblStyle w:val="4"/>
              <w:tblpPr w:leftFromText="180" w:rightFromText="180" w:vertAnchor="text" w:horzAnchor="page" w:tblpX="52" w:tblpY="40"/>
              <w:tblOverlap w:val="never"/>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652"/>
              <w:gridCol w:w="1651"/>
              <w:gridCol w:w="1652"/>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52" w:type="dxa"/>
                </w:tcPr>
                <w:p>
                  <w:p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t xml:space="preserve">   颜色</w:t>
                  </w:r>
                </w:p>
              </w:tc>
              <w:tc>
                <w:tcPr>
                  <w:tcW w:w="1652" w:type="dxa"/>
                </w:tcPr>
                <w:p>
                  <w:p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t xml:space="preserve">   气味</w:t>
                  </w:r>
                </w:p>
              </w:tc>
              <w:tc>
                <w:tcPr>
                  <w:tcW w:w="1651" w:type="dxa"/>
                </w:tcPr>
                <w:p>
                  <w:p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t xml:space="preserve">   状态</w:t>
                  </w:r>
                </w:p>
              </w:tc>
              <w:tc>
                <w:tcPr>
                  <w:tcW w:w="1652" w:type="dxa"/>
                </w:tcPr>
                <w:p>
                  <w:p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t xml:space="preserve">   密度</w:t>
                  </w:r>
                </w:p>
              </w:tc>
              <w:tc>
                <w:tcPr>
                  <w:tcW w:w="1653" w:type="dxa"/>
                </w:tcPr>
                <w:p>
                  <w:p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t xml:space="preserve">  溶解性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52" w:type="dxa"/>
                </w:tcPr>
                <w:p>
                  <w:pPr>
                    <w:spacing w:line="360" w:lineRule="auto"/>
                    <w:rPr>
                      <w:rFonts w:asciiTheme="minorEastAsia" w:hAnsiTheme="minorEastAsia" w:eastAsiaTheme="minorEastAsia" w:cstheme="minorEastAsia"/>
                      <w:kern w:val="24"/>
                      <w:sz w:val="24"/>
                    </w:rPr>
                  </w:pPr>
                </w:p>
              </w:tc>
              <w:tc>
                <w:tcPr>
                  <w:tcW w:w="1652" w:type="dxa"/>
                </w:tcPr>
                <w:p>
                  <w:pPr>
                    <w:spacing w:line="360" w:lineRule="auto"/>
                    <w:rPr>
                      <w:rFonts w:asciiTheme="minorEastAsia" w:hAnsiTheme="minorEastAsia" w:eastAsiaTheme="minorEastAsia" w:cstheme="minorEastAsia"/>
                      <w:kern w:val="24"/>
                      <w:sz w:val="24"/>
                    </w:rPr>
                  </w:pPr>
                </w:p>
              </w:tc>
              <w:tc>
                <w:tcPr>
                  <w:tcW w:w="1651" w:type="dxa"/>
                </w:tcPr>
                <w:p>
                  <w:pPr>
                    <w:spacing w:line="360" w:lineRule="auto"/>
                    <w:rPr>
                      <w:rFonts w:asciiTheme="minorEastAsia" w:hAnsiTheme="minorEastAsia" w:eastAsiaTheme="minorEastAsia" w:cstheme="minorEastAsia"/>
                      <w:kern w:val="24"/>
                      <w:sz w:val="24"/>
                    </w:rPr>
                  </w:pPr>
                </w:p>
              </w:tc>
              <w:tc>
                <w:tcPr>
                  <w:tcW w:w="1652" w:type="dxa"/>
                </w:tcPr>
                <w:p>
                  <w:pPr>
                    <w:spacing w:line="360" w:lineRule="auto"/>
                    <w:rPr>
                      <w:rFonts w:asciiTheme="minorEastAsia" w:hAnsiTheme="minorEastAsia" w:eastAsiaTheme="minorEastAsia" w:cstheme="minorEastAsia"/>
                      <w:kern w:val="24"/>
                      <w:sz w:val="24"/>
                    </w:rPr>
                  </w:pPr>
                </w:p>
              </w:tc>
              <w:tc>
                <w:tcPr>
                  <w:tcW w:w="1653" w:type="dxa"/>
                </w:tcPr>
                <w:p>
                  <w:pPr>
                    <w:spacing w:line="360" w:lineRule="auto"/>
                    <w:rPr>
                      <w:rFonts w:asciiTheme="minorEastAsia" w:hAnsiTheme="minorEastAsia" w:eastAsiaTheme="minorEastAsia" w:cstheme="minorEastAsia"/>
                      <w:kern w:val="24"/>
                      <w:sz w:val="24"/>
                    </w:rPr>
                  </w:pPr>
                </w:p>
              </w:tc>
            </w:tr>
          </w:tbl>
          <w:p>
            <w:p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sym w:font="Wingdings" w:char="F083"/>
            </w:r>
            <w:r>
              <w:rPr>
                <w:rFonts w:hint="eastAsia" w:asciiTheme="minorEastAsia" w:hAnsiTheme="minorEastAsia" w:eastAsiaTheme="minorEastAsia" w:cstheme="minorEastAsia"/>
                <w:kern w:val="24"/>
                <w:sz w:val="24"/>
              </w:rPr>
              <w:t>你听过“干冰”么？你对干冰有怎样的认识？</w:t>
            </w:r>
          </w:p>
          <w:p>
            <w:pPr>
              <w:spacing w:line="360" w:lineRule="auto"/>
              <w:rPr>
                <w:rFonts w:asciiTheme="minorEastAsia" w:hAnsiTheme="minorEastAsia" w:eastAsiaTheme="minorEastAsia" w:cstheme="minorEastAsia"/>
                <w:kern w:val="24"/>
                <w:sz w:val="24"/>
              </w:rPr>
            </w:pPr>
          </w:p>
          <w:p>
            <w:p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fldChar w:fldCharType="begin"/>
            </w:r>
            <w:r>
              <w:rPr>
                <w:rFonts w:hint="eastAsia" w:asciiTheme="minorEastAsia" w:hAnsiTheme="minorEastAsia" w:eastAsiaTheme="minorEastAsia" w:cstheme="minorEastAsia"/>
                <w:kern w:val="24"/>
                <w:sz w:val="24"/>
              </w:rPr>
              <w:instrText xml:space="preserve"> = 4 \* GB3 \* MERGEFORMAT </w:instrText>
            </w:r>
            <w:r>
              <w:rPr>
                <w:rFonts w:hint="eastAsia" w:asciiTheme="minorEastAsia" w:hAnsiTheme="minorEastAsia" w:eastAsiaTheme="minorEastAsia" w:cstheme="minorEastAsia"/>
                <w:kern w:val="24"/>
                <w:sz w:val="24"/>
              </w:rPr>
              <w:fldChar w:fldCharType="separate"/>
            </w:r>
            <w:r>
              <w:rPr>
                <w:rFonts w:hint="eastAsia" w:asciiTheme="minorEastAsia" w:hAnsiTheme="minorEastAsia" w:eastAsiaTheme="minorEastAsia" w:cstheme="minorEastAsia"/>
                <w:sz w:val="24"/>
              </w:rPr>
              <w:t>④</w:t>
            </w:r>
            <w:r>
              <w:rPr>
                <w:rFonts w:hint="eastAsia" w:asciiTheme="minorEastAsia" w:hAnsiTheme="minorEastAsia" w:eastAsiaTheme="minorEastAsia" w:cstheme="minorEastAsia"/>
                <w:kern w:val="24"/>
                <w:sz w:val="24"/>
              </w:rPr>
              <w:fldChar w:fldCharType="end"/>
            </w:r>
            <w:r>
              <w:rPr>
                <w:rFonts w:hint="eastAsia" w:asciiTheme="minorEastAsia" w:hAnsiTheme="minorEastAsia" w:eastAsiaTheme="minorEastAsia" w:cstheme="minorEastAsia"/>
                <w:kern w:val="24"/>
                <w:sz w:val="24"/>
              </w:rPr>
              <w:t>二氧化碳化学性质</w:t>
            </w:r>
          </w:p>
          <w:p>
            <w:pPr>
              <w:numPr>
                <w:ilvl w:val="0"/>
                <w:numId w:val="6"/>
              </w:num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t>将二氧化碳倒入装有高低燃烧蜡烛的烧杯中，观察到的现象是_________________，此实验说明二氧化碳具有________________________的性质。</w:t>
            </w:r>
          </w:p>
          <w:p>
            <w:pPr>
              <w:numPr>
                <w:ilvl w:val="0"/>
                <w:numId w:val="6"/>
              </w:num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t>将一只小白鼠放入装有二氧化碳的集气瓶内，观察到的现象是__________________，此实验说明二氧化碳具有__________________的性质。</w:t>
            </w:r>
          </w:p>
          <w:p>
            <w:pPr>
              <w:numPr>
                <w:ilvl w:val="0"/>
                <w:numId w:val="6"/>
              </w:num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t>取四朵用石蕊溶液染成紫色的干燥小花，第一朵喷上稀醋酸，观察到小花变红色。向第二朵小花喷水，观察到的现象是____________，将第三朵小花直接放入二氧化碳中，观察的现象是______________，将第四朵小花喷水后放入二氧化碳中，观察到的现象是___________，此实验说明二氧化碳能与____________反应，反应的化学方程式为_____________________。</w:t>
            </w:r>
          </w:p>
          <w:p>
            <w:pPr>
              <w:numPr>
                <w:ilvl w:val="0"/>
                <w:numId w:val="6"/>
              </w:numPr>
              <w:spacing w:line="360" w:lineRule="auto"/>
              <w:rPr>
                <w:rFonts w:asciiTheme="minorEastAsia" w:hAnsiTheme="minorEastAsia" w:eastAsiaTheme="minorEastAsia" w:cstheme="minorEastAsia"/>
                <w:kern w:val="24"/>
                <w:sz w:val="24"/>
              </w:rPr>
            </w:pPr>
            <w:r>
              <w:rPr>
                <w:rFonts w:hint="eastAsia" w:asciiTheme="minorEastAsia" w:hAnsiTheme="minorEastAsia" w:eastAsiaTheme="minorEastAsia" w:cstheme="minorEastAsia"/>
                <w:kern w:val="24"/>
                <w:sz w:val="24"/>
              </w:rPr>
              <w:t>向澄清石灰水中吹气，可观察到的现象是____________________，此实验说明二氧化碳能与____________________反应，反应的化学方程式为_____________________________。</w:t>
            </w:r>
          </w:p>
        </w:tc>
      </w:tr>
    </w:tbl>
    <w:p>
      <w:pPr>
        <w:spacing w:line="360" w:lineRule="auto"/>
        <w:ind w:firstLine="480" w:firstLineChars="200"/>
        <w:rPr>
          <w:rFonts w:asciiTheme="minorEastAsia" w:hAnsiTheme="minorEastAsia" w:eastAsiaTheme="minorEastAsia" w:cstheme="minorEastAsia"/>
          <w:kern w:val="24"/>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kern w:val="24"/>
          <w:sz w:val="24"/>
        </w:rPr>
        <w:t>3、训练提升、达标检测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24"/>
          <w:sz w:val="24"/>
        </w:rPr>
        <w:t>习题训练环节通过新素材引导学生对所学内容进行回顾，在通过分析，在新情景中学会迁移和应用，从而巩固提升学生对本课知识点的理解。同时我们也应该注意到，有的时候，习题不是简单的知识点呈现，而是对课堂上教学内容的拓展延伸和补充。学生可以在习题训练中获得答题的的技巧和思路，掌握更多的答题方式方法，很大程度上提升学生思维能力。在这环节的设计中，很多教师都</w:t>
      </w:r>
      <w:r>
        <w:rPr>
          <w:rFonts w:hint="eastAsia" w:asciiTheme="minorEastAsia" w:hAnsiTheme="minorEastAsia" w:eastAsiaTheme="minorEastAsia" w:cstheme="minorEastAsia"/>
          <w:sz w:val="24"/>
        </w:rPr>
        <w:t>会以选择或填空为主，虽然这样的题型设计会加深学生对知识的准确记忆和理解，但是碍于思维的局限性，没有自由尝试和知识重组的创新可能，对学生能力的培养显得比较缺乏。因此，习题的设计还需要为学生提供更多的思考空间，让学生获取更丰富的学习体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达标检测</w:t>
      </w:r>
      <w:r>
        <w:rPr>
          <w:rFonts w:hint="eastAsia" w:asciiTheme="minorEastAsia" w:hAnsiTheme="minorEastAsia" w:eastAsiaTheme="minorEastAsia" w:cstheme="minorEastAsia"/>
          <w:kern w:val="24"/>
          <w:sz w:val="24"/>
        </w:rPr>
        <w:t>的主要作用在于检测学生对本节课学习目标的达成情况或学习任务完成情况，</w:t>
      </w:r>
      <w:r>
        <w:rPr>
          <w:rFonts w:hint="eastAsia" w:asciiTheme="minorEastAsia" w:hAnsiTheme="minorEastAsia" w:eastAsiaTheme="minorEastAsia" w:cstheme="minorEastAsia"/>
          <w:sz w:val="24"/>
        </w:rPr>
        <w:t>要围绕目标进行，也就是说：技能训练的全部题目都应该从课标、考纲中来。</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学案导学”虽然只是课堂教学的一部分，但是它却充分体现了“以学生为主体，教师为主导”的新课程理念，对教学的促进作用也是显而易见的。在初中化学教学实践中，我们要不断完善、熟练、正确地运用，才能让每个教学环节都能恰如其分的开展，并充分发挥出其教育的价值和作用。</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责任编辑：张瑜</w:t>
      </w:r>
    </w:p>
    <w:p>
      <w:pPr>
        <w:spacing w:line="360" w:lineRule="auto"/>
        <w:rPr>
          <w:rFonts w:asciiTheme="minorEastAsia" w:hAnsiTheme="minorEastAsia" w:eastAsiaTheme="minorEastAsia" w:cs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0000000000000000000"/>
    <w:charset w:val="00"/>
    <w:family w:val="auto"/>
    <w:pitch w:val="default"/>
    <w:sig w:usb0="00000000" w:usb1="00000000"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308E9"/>
    <w:multiLevelType w:val="singleLevel"/>
    <w:tmpl w:val="3FF308E9"/>
    <w:lvl w:ilvl="0" w:tentative="0">
      <w:start w:val="1"/>
      <w:numFmt w:val="decimal"/>
      <w:suff w:val="nothing"/>
      <w:lvlText w:val="%1、"/>
      <w:lvlJc w:val="left"/>
    </w:lvl>
  </w:abstractNum>
  <w:abstractNum w:abstractNumId="1">
    <w:nsid w:val="3FF31E03"/>
    <w:multiLevelType w:val="singleLevel"/>
    <w:tmpl w:val="3FF31E03"/>
    <w:lvl w:ilvl="0" w:tentative="0">
      <w:start w:val="7"/>
      <w:numFmt w:val="decimal"/>
      <w:suff w:val="nothing"/>
      <w:lvlText w:val="%1."/>
      <w:lvlJc w:val="left"/>
    </w:lvl>
  </w:abstractNum>
  <w:abstractNum w:abstractNumId="2">
    <w:nsid w:val="3FF31EF4"/>
    <w:multiLevelType w:val="singleLevel"/>
    <w:tmpl w:val="3FF31EF4"/>
    <w:lvl w:ilvl="0" w:tentative="0">
      <w:start w:val="1"/>
      <w:numFmt w:val="decimal"/>
      <w:suff w:val="space"/>
      <w:lvlText w:val="%1."/>
      <w:lvlJc w:val="left"/>
    </w:lvl>
  </w:abstractNum>
  <w:abstractNum w:abstractNumId="3">
    <w:nsid w:val="3FF3214B"/>
    <w:multiLevelType w:val="singleLevel"/>
    <w:tmpl w:val="3FF3214B"/>
    <w:lvl w:ilvl="0" w:tentative="0">
      <w:start w:val="1"/>
      <w:numFmt w:val="decimal"/>
      <w:suff w:val="nothing"/>
      <w:lvlText w:val="%1、"/>
      <w:lvlJc w:val="left"/>
    </w:lvl>
  </w:abstractNum>
  <w:abstractNum w:abstractNumId="4">
    <w:nsid w:val="3FF362D8"/>
    <w:multiLevelType w:val="singleLevel"/>
    <w:tmpl w:val="3FF362D8"/>
    <w:lvl w:ilvl="0" w:tentative="0">
      <w:start w:val="1"/>
      <w:numFmt w:val="upperLetter"/>
      <w:suff w:val="nothing"/>
      <w:lvlText w:val="%1."/>
      <w:lvlJc w:val="left"/>
    </w:lvl>
  </w:abstractNum>
  <w:abstractNum w:abstractNumId="5">
    <w:nsid w:val="3FF36BBB"/>
    <w:multiLevelType w:val="singleLevel"/>
    <w:tmpl w:val="3FF36BBB"/>
    <w:lvl w:ilvl="0" w:tentative="0">
      <w:start w:val="1"/>
      <w:numFmt w:val="chineseCounting"/>
      <w:suff w:val="nothing"/>
      <w:lvlText w:val="%1、"/>
      <w:lvlJc w:val="left"/>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28"/>
    <w:rsid w:val="00641297"/>
    <w:rsid w:val="00BA606B"/>
    <w:rsid w:val="00BC42D1"/>
    <w:rsid w:val="00CD7B28"/>
    <w:rsid w:val="48F771CA"/>
    <w:rsid w:val="5C04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370</Words>
  <Characters>2114</Characters>
  <Lines>17</Lines>
  <Paragraphs>4</Paragraphs>
  <TotalTime>0</TotalTime>
  <ScaleCrop>false</ScaleCrop>
  <LinksUpToDate>false</LinksUpToDate>
  <CharactersWithSpaces>2480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gaoxinjun</dc:creator>
  <cp:lastModifiedBy>Administrator</cp:lastModifiedBy>
  <dcterms:modified xsi:type="dcterms:W3CDTF">2017-10-16T02:24:19Z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